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方正小标宋_GBK" w:hAnsi="等线" w:eastAsia="方正小标宋_GBK" w:cs="Times New Roman"/>
          <w:sz w:val="32"/>
          <w:szCs w:val="32"/>
        </w:rPr>
      </w:pPr>
      <w:bookmarkStart w:id="1" w:name="_GoBack"/>
      <w:bookmarkEnd w:id="1"/>
    </w:p>
    <w:p>
      <w:pPr>
        <w:jc w:val="center"/>
        <w:rPr>
          <w:rFonts w:hint="eastAsia" w:ascii="方正小标宋_GBK" w:hAnsi="等线" w:eastAsia="方正小标宋_GBK" w:cs="Times New Roman"/>
          <w:sz w:val="32"/>
          <w:szCs w:val="32"/>
        </w:rPr>
      </w:pPr>
      <w:r>
        <w:rPr>
          <w:rFonts w:hint="eastAsia" w:ascii="方正小标宋_GBK" w:hAnsi="等线" w:eastAsia="方正小标宋_GBK" w:cs="Times New Roman"/>
          <w:sz w:val="32"/>
          <w:szCs w:val="32"/>
        </w:rPr>
        <w:t>江苏省初级注册安全工程师职业资格考试大纲</w:t>
      </w:r>
    </w:p>
    <w:p>
      <w:pPr>
        <w:jc w:val="center"/>
        <w:rPr>
          <w:rFonts w:hint="eastAsia" w:ascii="方正小标宋_GBK" w:hAnsi="等线" w:eastAsia="方正小标宋_GBK" w:cs="Times New Roman"/>
          <w:sz w:val="32"/>
          <w:szCs w:val="32"/>
        </w:rPr>
      </w:pPr>
      <w:r>
        <w:rPr>
          <w:rFonts w:hint="eastAsia" w:ascii="方正小标宋_GBK" w:hAnsi="等线" w:eastAsia="方正小标宋_GBK" w:cs="Times New Roman"/>
          <w:sz w:val="32"/>
          <w:szCs w:val="32"/>
        </w:rPr>
        <w:t>安全生产管理部分实施细则</w:t>
      </w:r>
    </w:p>
    <w:tbl>
      <w:tblPr>
        <w:tblStyle w:val="17"/>
        <w:tblW w:w="137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4"/>
        <w:gridCol w:w="4252"/>
        <w:gridCol w:w="52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tblHeader/>
          <w:jc w:val="center"/>
        </w:trPr>
        <w:tc>
          <w:tcPr>
            <w:tcW w:w="4254" w:type="dxa"/>
            <w:vAlign w:val="center"/>
          </w:tcPr>
          <w:p>
            <w:pPr>
              <w:spacing w:line="500" w:lineRule="exact"/>
              <w:jc w:val="center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黑体_GBK" w:hAnsi="Times New Roman" w:eastAsia="方正黑体_GBK" w:cs="Times New Roman"/>
                <w:kern w:val="0"/>
                <w:sz w:val="24"/>
                <w:szCs w:val="20"/>
              </w:rPr>
              <w:t>一级目录</w:t>
            </w:r>
          </w:p>
        </w:tc>
        <w:tc>
          <w:tcPr>
            <w:tcW w:w="4252" w:type="dxa"/>
            <w:vAlign w:val="center"/>
          </w:tcPr>
          <w:p>
            <w:pPr>
              <w:spacing w:line="500" w:lineRule="exact"/>
              <w:jc w:val="center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黑体_GBK" w:hAnsi="Times New Roman" w:eastAsia="方正黑体_GBK" w:cs="Times New Roman"/>
                <w:kern w:val="0"/>
                <w:sz w:val="24"/>
                <w:szCs w:val="20"/>
              </w:rPr>
              <w:t>二级目录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jc w:val="center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黑体_GBK" w:hAnsi="Times New Roman" w:eastAsia="方正黑体_GBK" w:cs="Times New Roman"/>
                <w:kern w:val="0"/>
                <w:sz w:val="24"/>
                <w:szCs w:val="20"/>
              </w:rPr>
              <w:t>三级目录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restart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1.依据安全生产有关法律、法规、规章和标准，结合安全生产实际，拟定生产经营单位安全生产工作计划，起草安全生产规章制度、安全操作规程和安全技术措施计划。</w:t>
            </w:r>
          </w:p>
        </w:tc>
        <w:tc>
          <w:tcPr>
            <w:tcW w:w="4252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b/>
                <w:bCs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拟定生产经营单位安全生产工作计划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strike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安全生产工作计划的主要内容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起草安全生产规章制度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安全生产规章制度类别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安全生产规章制度主要内容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起草安全操作规程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安全操作规程的编制内容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编制安全操作规程注意事项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起草安全技术措施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安全技术措施的类别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安全技术措施编制内容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编制安全技术措施注意事项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2.根据安全生产工作有关要求，进行安全生产教育培训和安全生产检查，参与实施建设项目安全设施“三同时”，选用和管理劳动防护用品及各类消防器材，提出各生产环节安全生产事故预防控制措施。</w:t>
            </w: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安全生产教育培训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安全生产教育培训基本规定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strike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主要负责人、安全生产管理人员的安全生产教育培训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特种作业人员的安全生产教育培训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其他从业人员的安全生产教育培训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安全生产检查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安全生产检查的类型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安全生产检查的内容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安全生产检查的方法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建设项目安全设施“三同时”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“三同时”含义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建设项目安全设施设计主要内容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建设项目安全设施施工和建设要求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建设项目安全设施竣工验收要求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选用和管理劳动防护用品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劳动防护用品的分类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劳动防护用品的管理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选用和管理各类消防器材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消防器材的类别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消防器材的选用和管理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strike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提出各生产环节安全生产事故预防控制措施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风险分级管控（包括风险辨识、评估、分级、管控）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strike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隐患排查治理（事故隐患的含义、分类，生产经营单位的隐患排查治理职责）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restart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3.根据生产经营单位的生产工艺、主要设备设施、作业环境和安全管理等动态变化情况，辨识作业场所及岗位存在的危险、有害因素，编制对策措施。</w:t>
            </w: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辨识作业场所及岗位存在的危险、有害因素，编制对策措施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危险、有害因素的分类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危险、有害因素辩识的方法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危险、有害因素辩识的主要内容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restart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4.根据生产经营单位的生产实际情况，辨识生产场所和储存区的危险化学品重大危险源，完成申报工作，编制对策措施。</w:t>
            </w: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辨识生产场所和储存区的危险化学品重大危险源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重大危险源的基本概念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危险化学品重大危险源的辨识标准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重大危险源分级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重大危险源的安全管理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restart"/>
            <w:vAlign w:val="center"/>
          </w:tcPr>
          <w:p>
            <w:pPr>
              <w:spacing w:line="500" w:lineRule="exact"/>
              <w:rPr>
                <w:rFonts w:ascii="方正黑体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5.依据有关法规标准，掌握动火、高处作业、受限空间(有限空间)、临时用电等危险作业存在的主要风险及作业许可(审批)要求。</w:t>
            </w:r>
          </w:p>
        </w:tc>
        <w:tc>
          <w:tcPr>
            <w:tcW w:w="4252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主要风险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动火作业、高处作业、受限空间(有限空间)、临时用电危险作业的主要风险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作业许可（审批）要求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动火作业、高处作业、受限空间(有限空间)、临时用电危险作业的作业许可（审批）要求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restart"/>
            <w:vAlign w:val="center"/>
          </w:tcPr>
          <w:p>
            <w:pPr>
              <w:spacing w:line="500" w:lineRule="exact"/>
              <w:rPr>
                <w:rFonts w:ascii="方正黑体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6.针对生产经营单位安全生产潜在的事故风险，参与编制单位事故应急救援预案，策划应急演练，评估演练效果。</w:t>
            </w: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事故应急预案编制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事故应急预案体系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事故应急预案编制程序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事故应急预案主要内容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应急演练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应急演练的原则、类型与内容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应急演练的基本流程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应急演练的评估与总结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restart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7.根据职业危害防治要求，辨识作业场所职业危害因素，制定典型职业危害的防治措施。</w:t>
            </w: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辨识作业场所职业危害因素，制定典型职业危害的防治措施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职业危害因素分类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职业危害因素辨识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职业危害防治措施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restart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8.根据生产经营单位安全生产实际状况，参与策划安全生产标准化建设方案。</w:t>
            </w: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安全生产标准化建设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安全生产标准化建设内容与要求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企业开展安全生产标准化建设流程及注意事项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restart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9.根据生产安全事故造成人身伤亡或者直接经济损失等情况，界定事故的等级。</w:t>
            </w: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生产安全事故分级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根据造成死亡人数分级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根据造成重伤人数分级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根据造成直接经济损失分级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10.根据生产安全事故起因物、引起事故的诱导性原因、致害物和伤害方式等特点，界定伤亡事故类型，分析事故的直接、间接原因。</w:t>
            </w: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伤亡事故类型及原因分析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伤亡事故分类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伤亡事故原因分析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restart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11.根据生产安全事故发生特点，应用事故调查技术和方法，制定轻伤事故调查程序，编写轻伤事故调查报告。</w:t>
            </w: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  <w:t>轻伤事故调查程序制定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  <w:t>轻伤事故的定义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  <w:t>事故调查的组织程序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  <w:t>轻伤事故调查报告编写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  <w:t>分析事故发生原因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  <w:t>认定事故责任人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Merge w:val="continue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252" w:type="dxa"/>
            <w:vMerge w:val="continue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</w:pP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color w:val="000000"/>
                <w:kern w:val="0"/>
                <w:sz w:val="24"/>
                <w:szCs w:val="20"/>
              </w:rPr>
              <w:t>防止事故发生措施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254" w:type="dxa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12.根据生产安全事故实际情况，分析事故责任类型，编制事故防范措施，分析、排查、整改事故隐患。</w:t>
            </w:r>
          </w:p>
        </w:tc>
        <w:tc>
          <w:tcPr>
            <w:tcW w:w="4252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分析事故责任类型，编制事故防范措施，分析、排查、整改事故隐患</w:t>
            </w:r>
          </w:p>
        </w:tc>
        <w:tc>
          <w:tcPr>
            <w:tcW w:w="5239" w:type="dxa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案例分析</w:t>
            </w:r>
          </w:p>
        </w:tc>
      </w:tr>
    </w:tbl>
    <w:p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</w:p>
    <w:p>
      <w:pPr>
        <w:widowControl/>
        <w:jc w:val="left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br w:type="page"/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</w:rPr>
        <w:t>安全生产技术基础部分实施细则</w:t>
      </w:r>
    </w:p>
    <w:tbl>
      <w:tblPr>
        <w:tblStyle w:val="17"/>
        <w:tblW w:w="1403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53"/>
        <w:gridCol w:w="4394"/>
        <w:gridCol w:w="5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tblHeader/>
        </w:trPr>
        <w:tc>
          <w:tcPr>
            <w:tcW w:w="4253" w:type="dxa"/>
          </w:tcPr>
          <w:p>
            <w:pPr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一级目录</w:t>
            </w:r>
          </w:p>
        </w:tc>
        <w:tc>
          <w:tcPr>
            <w:tcW w:w="4394" w:type="dxa"/>
          </w:tcPr>
          <w:p>
            <w:pPr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二级目录</w:t>
            </w:r>
          </w:p>
        </w:tc>
        <w:tc>
          <w:tcPr>
            <w:tcW w:w="5387" w:type="dxa"/>
          </w:tcPr>
          <w:p>
            <w:pPr>
              <w:spacing w:line="500" w:lineRule="exact"/>
              <w:jc w:val="center"/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</w:pPr>
            <w:r>
              <w:rPr>
                <w:rFonts w:hint="eastAsia" w:ascii="方正黑体_GBK" w:hAnsi="方正黑体_GBK" w:eastAsia="方正黑体_GBK" w:cs="方正黑体_GBK"/>
                <w:kern w:val="0"/>
                <w:sz w:val="24"/>
                <w:szCs w:val="24"/>
              </w:rPr>
              <w:t>三级目录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253" w:type="dxa"/>
            <w:vMerge w:val="restart"/>
            <w:vAlign w:val="center"/>
          </w:tcPr>
          <w:p>
            <w:pPr>
              <w:spacing w:line="500" w:lineRule="exac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.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熟悉机械、电气的危险、有害因素及其伤害与事故类别，制定相应的事故预防措施。</w:t>
            </w: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机械安全技术</w:t>
            </w: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机械使用过程中的危险有害因素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机械伤害事故类型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0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机械危险部位及其安全防护措施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机械安全防护措施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安全标志与安全色的使用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bookmarkStart w:id="0" w:name="_Hlk159593460"/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电气安全技术</w:t>
            </w: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电气事故及危害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57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触电防护技术（直接触电、间接触电、兼有直接触电和间接触电的防护措施）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雷击防护技术（防雷装置、防雷技术）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静电防护技术（静电危害、防护措施）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4253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2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.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针对不同物质材料、不同类型的火灾，制定相应的防火措施和扑救方法；制定电气设备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粉尘、民用爆炸物品和烟花爆竹等的防爆措施。</w:t>
            </w: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火灾安全技术</w:t>
            </w: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火灾分类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4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点火源控制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火灾扑救方法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电气设备防爆安全措施</w:t>
            </w: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爆炸危险环境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防爆电气设备保护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3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防爆电气线路保护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粉尘防爆安全措施</w:t>
            </w: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粉尘爆炸的条件和特点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粉尘爆炸的控制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民用爆炸物品防爆安全措施</w:t>
            </w: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民用爆炸物品分类及危险特性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6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民用爆炸物品安全生产技术条件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烟花爆竹防爆安全措施</w:t>
            </w: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烟花爆竹储存和运输安全技术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253" w:type="dxa"/>
            <w:vMerge w:val="restart"/>
            <w:vAlign w:val="center"/>
          </w:tcPr>
          <w:p>
            <w:pPr>
              <w:spacing w:line="500" w:lineRule="exac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3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.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根据生产经营单位的实际情况，编制特种设备的安全管理及技术措施、特种设备安全附件及其使用要求，以及特种设备事故的预防、控制和应急措施。</w:t>
            </w: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特种设备概念、分类及安全管理</w:t>
            </w: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特种设备定义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特种设备分类及特点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特种设备事故类型及安全管理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特种设备安全技术</w:t>
            </w: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锅炉安全技术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压力容器（含气瓶）安全技术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压力管道安全技术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电梯安全技术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起重机械安全技术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客运索道安全技术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大型游乐设施安全技术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场（厂）内专用机动车辆安全技术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restart"/>
            <w:vAlign w:val="center"/>
          </w:tcPr>
          <w:p>
            <w:pPr>
              <w:spacing w:line="500" w:lineRule="exac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4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.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根据危险化学品的特性，选用相应的包装与储运方法，以及泄漏控制、火灾控制和销毁处置的措施。根据危险化学品对人体危害的特性，选用适当的防护措施与现场抢救方法。</w:t>
            </w: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危险化学品类别及其危险特性</w:t>
            </w: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危险化学品概念及类别划分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危险化学品的主要危险特性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危险化学品安全说明书和安全标签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危险化学品包装和储运安全</w:t>
            </w: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危险化学品包装安全要求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危险化学品储运安全技术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危险化学品泄露、火灾控制和销毁处置</w:t>
            </w: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危险化学品泄漏处理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危险化学品火灾控制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危险化学品销毁处置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危险化学品的人体危害与防护</w:t>
            </w: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危险化学品对人体的危害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危险化学品个体防护措施与现场抢救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4253" w:type="dxa"/>
            <w:vMerge w:val="restart"/>
            <w:vAlign w:val="center"/>
          </w:tcPr>
          <w:p>
            <w:pPr>
              <w:spacing w:line="500" w:lineRule="exac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5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.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根据相关安全标准和动火、受限空间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（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有限空间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）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等特殊作业管理制度，进行风险分析，编制作业安全防范措施。</w:t>
            </w: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特殊作业概念及通用要求</w:t>
            </w: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特殊作业概念及分类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6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特殊作业通用要求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特殊作业风险及防范措施</w:t>
            </w: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动火作业风险及防范措施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受限空间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（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有限空间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）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作业风险及防范措施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253" w:type="dxa"/>
            <w:vMerge w:val="continue"/>
            <w:vAlign w:val="center"/>
          </w:tcPr>
          <w:p>
            <w:pPr>
              <w:spacing w:line="500" w:lineRule="exact"/>
              <w:jc w:val="center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4394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</w:p>
        </w:tc>
        <w:tc>
          <w:tcPr>
            <w:tcW w:w="5387" w:type="dxa"/>
            <w:vAlign w:val="center"/>
          </w:tcPr>
          <w:p>
            <w:pPr>
              <w:spacing w:line="500" w:lineRule="exact"/>
              <w:jc w:val="left"/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高处作业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临时用电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作业、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盲板抽堵作业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吊装作业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动土作业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、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断路作业</w:t>
            </w:r>
            <w:r>
              <w:rPr>
                <w:rFonts w:hint="eastAsia" w:ascii="Times New Roman" w:hAnsi="Times New Roman" w:eastAsia="方正仿宋_GBK" w:cs="Times New Roman"/>
                <w:kern w:val="0"/>
                <w:sz w:val="24"/>
                <w:szCs w:val="24"/>
              </w:rPr>
              <w:t>等</w:t>
            </w:r>
            <w:r>
              <w:rPr>
                <w:rFonts w:ascii="Times New Roman" w:hAnsi="Times New Roman" w:eastAsia="方正仿宋_GBK" w:cs="Times New Roman"/>
                <w:kern w:val="0"/>
                <w:sz w:val="24"/>
                <w:szCs w:val="24"/>
              </w:rPr>
              <w:t>风险及防范措施</w:t>
            </w:r>
          </w:p>
        </w:tc>
      </w:tr>
    </w:tbl>
    <w:p>
      <w:pPr>
        <w:rPr>
          <w:rFonts w:hint="eastAsia"/>
        </w:rPr>
      </w:pPr>
    </w:p>
    <w:p>
      <w:pPr>
        <w:widowControl/>
        <w:jc w:val="left"/>
        <w:rPr>
          <w:rFonts w:hint="eastAsia"/>
        </w:rPr>
      </w:pPr>
      <w:r>
        <w:rPr>
          <w:rFonts w:hint="eastAsia"/>
        </w:rPr>
        <w:br w:type="page"/>
      </w:r>
    </w:p>
    <w:p>
      <w:pPr>
        <w:jc w:val="center"/>
        <w:rPr>
          <w:rFonts w:hint="eastAsia" w:ascii="方正小标宋_GBK" w:hAnsi="等线" w:eastAsia="方正小标宋_GBK" w:cs="Times New Roman"/>
          <w:sz w:val="32"/>
          <w:szCs w:val="32"/>
        </w:rPr>
      </w:pPr>
      <w:r>
        <w:rPr>
          <w:rFonts w:hint="eastAsia" w:ascii="方正小标宋_GBK" w:hAnsi="等线" w:eastAsia="方正小标宋_GBK" w:cs="Times New Roman"/>
          <w:sz w:val="32"/>
          <w:szCs w:val="32"/>
        </w:rPr>
        <w:t>专业技术实施细则（化工安全技术）</w:t>
      </w:r>
    </w:p>
    <w:tbl>
      <w:tblPr>
        <w:tblStyle w:val="17"/>
        <w:tblW w:w="1403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03"/>
        <w:gridCol w:w="4820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tblHeader/>
        </w:trPr>
        <w:tc>
          <w:tcPr>
            <w:tcW w:w="5103" w:type="dxa"/>
            <w:vAlign w:val="center"/>
          </w:tcPr>
          <w:p>
            <w:pPr>
              <w:spacing w:line="500" w:lineRule="exact"/>
              <w:jc w:val="center"/>
              <w:rPr>
                <w:rFonts w:ascii="方正小标宋_GBK" w:hAnsi="Times New Roman" w:eastAsia="方正小标宋_GBK" w:cs="Times New Roman"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kern w:val="0"/>
                <w:sz w:val="24"/>
                <w:szCs w:val="20"/>
              </w:rPr>
              <w:t>一级目录</w:t>
            </w:r>
          </w:p>
        </w:tc>
        <w:tc>
          <w:tcPr>
            <w:tcW w:w="4820" w:type="dxa"/>
            <w:vAlign w:val="center"/>
          </w:tcPr>
          <w:p>
            <w:pPr>
              <w:spacing w:line="500" w:lineRule="exact"/>
              <w:jc w:val="center"/>
              <w:rPr>
                <w:rFonts w:ascii="方正小标宋_GBK" w:hAnsi="Times New Roman" w:eastAsia="方正小标宋_GBK" w:cs="Times New Roman"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kern w:val="0"/>
                <w:sz w:val="24"/>
                <w:szCs w:val="20"/>
              </w:rPr>
              <w:t>二级目录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center"/>
              <w:rPr>
                <w:rFonts w:ascii="方正小标宋_GBK" w:hAnsi="Times New Roman" w:eastAsia="方正小标宋_GBK" w:cs="Times New Roman"/>
                <w:kern w:val="0"/>
                <w:sz w:val="28"/>
                <w:szCs w:val="28"/>
              </w:rPr>
            </w:pPr>
            <w:r>
              <w:rPr>
                <w:rFonts w:hint="eastAsia" w:ascii="方正黑体_GBK" w:hAnsi="Times New Roman" w:eastAsia="方正黑体_GBK" w:cs="Times New Roman"/>
                <w:kern w:val="0"/>
                <w:sz w:val="24"/>
                <w:szCs w:val="20"/>
              </w:rPr>
              <w:t>三级目录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5103" w:type="dxa"/>
            <w:vMerge w:val="restart"/>
            <w:vAlign w:val="center"/>
          </w:tcPr>
          <w:p>
            <w:pPr>
              <w:spacing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1.</w:t>
            </w: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了解基</w:t>
            </w: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本</w:t>
            </w: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的化工安全生产特点和管理知识、重点监管危险化学品的危害性、化工工艺及相关设备设施。掌握危险化学品重大危险源的辨识方法。</w:t>
            </w:r>
          </w:p>
        </w:tc>
        <w:tc>
          <w:tcPr>
            <w:tcW w:w="4820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strike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化工安全生产特点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strike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化工企业工艺安全管理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strike/>
                <w:kern w:val="0"/>
                <w:sz w:val="24"/>
                <w:szCs w:val="20"/>
              </w:rPr>
            </w:pP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风险管理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装置首次开车安全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安全操作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作业许可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承包商安全管理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36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变更管理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重点监管危险化学品及其危害性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重点监管的危险化工工艺安全管理</w:t>
            </w:r>
          </w:p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（18个危险化工工艺）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工艺危险特点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工艺参数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安全控制基本要求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0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安全控制方法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重点监管</w:t>
            </w: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的</w:t>
            </w: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危险</w:t>
            </w: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化工工艺设备设施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预防事故设施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控制事故设施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减少与消除事故影响设施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危险化学品重大危险源辨识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生产单元重大危险源辨识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储存单元重大危险源辨识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restart"/>
            <w:vAlign w:val="center"/>
          </w:tcPr>
          <w:p>
            <w:pPr>
              <w:spacing w:line="500" w:lineRule="exac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2.</w:t>
            </w: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运用特殊作业环节风险分析方法，辨识特殊作业环节安全风险，制定相应安全技术措施。</w:t>
            </w:r>
          </w:p>
        </w:tc>
        <w:tc>
          <w:tcPr>
            <w:tcW w:w="4820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特殊作业环节风险分析方法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安全检查表法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故障假设分析法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故障类型和影响分析法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危险与可操作性分析法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事故树分析法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事件树分析法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辨识特殊作业环节安全风险，制定相应安全技术措施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盲板抽堵作业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受限空间作业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spacing w:val="-20"/>
                <w:kern w:val="0"/>
                <w:sz w:val="24"/>
                <w:szCs w:val="20"/>
              </w:rPr>
              <w:t>断路</w:t>
            </w: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吊装作业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动土作业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spacing w:val="-20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动火作业、高处作业、临时用电作业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restart"/>
            <w:vAlign w:val="center"/>
          </w:tcPr>
          <w:p>
            <w:pPr>
              <w:spacing w:before="312" w:beforeLines="100" w:line="500" w:lineRule="exac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3.</w:t>
            </w: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掌握重点监管的危险化学品包装、储存、装卸、运输安全技术要求，对包装、储存、装卸、运输作业中的风险进行辨识，并制定相应防范措施。了解其他化学品包装、储存、装卸、运输过程中的安全技术要求。</w:t>
            </w:r>
          </w:p>
        </w:tc>
        <w:tc>
          <w:tcPr>
            <w:tcW w:w="4820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重点监管的易燃气体的</w:t>
            </w: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包装、储存、装卸、运输</w:t>
            </w: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5103" w:type="dxa"/>
            <w:vMerge w:val="continue"/>
            <w:vAlign w:val="center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风险辨识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防范措施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重点监管的易燃液体的</w:t>
            </w: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包装、储存、装卸、运输</w:t>
            </w: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风险辨识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防范措施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重点监管的自燃液体的</w:t>
            </w: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包装、储存、装卸、运输</w:t>
            </w: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风险辨识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防范措施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重点监管的自燃固体的</w:t>
            </w: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包装、储存、装卸、运输</w:t>
            </w: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风险辨识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防范措施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restart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重点监管的遇水放出易燃气体的物质、三光气等光气类化学品的</w:t>
            </w:r>
            <w:r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  <w:t>包装、储存、装卸、运输</w:t>
            </w: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安全</w:t>
            </w: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技术要求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风险辨识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5103" w:type="dxa"/>
            <w:vMerge w:val="continue"/>
          </w:tcPr>
          <w:p>
            <w:pPr>
              <w:spacing w:before="312" w:beforeLines="100" w:line="500" w:lineRule="exact"/>
              <w:jc w:val="left"/>
              <w:rPr>
                <w:rFonts w:ascii="方正黑体_GBK" w:hAnsi="Times New Roman" w:eastAsia="方正黑体_GBK" w:cs="Times New Roman"/>
                <w:kern w:val="0"/>
                <w:sz w:val="24"/>
                <w:szCs w:val="20"/>
              </w:rPr>
            </w:pPr>
          </w:p>
        </w:tc>
        <w:tc>
          <w:tcPr>
            <w:tcW w:w="4820" w:type="dxa"/>
            <w:vMerge w:val="continue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</w:p>
        </w:tc>
        <w:tc>
          <w:tcPr>
            <w:tcW w:w="4111" w:type="dxa"/>
            <w:vAlign w:val="center"/>
          </w:tcPr>
          <w:p>
            <w:pPr>
              <w:spacing w:line="500" w:lineRule="exact"/>
              <w:jc w:val="left"/>
              <w:rPr>
                <w:rFonts w:ascii="方正仿宋_GBK" w:hAnsi="Times New Roman" w:eastAsia="方正仿宋_GBK" w:cs="Times New Roman"/>
                <w:kern w:val="0"/>
                <w:sz w:val="24"/>
                <w:szCs w:val="20"/>
              </w:rPr>
            </w:pPr>
            <w:r>
              <w:rPr>
                <w:rFonts w:hint="eastAsia" w:ascii="方正仿宋_GBK" w:hAnsi="Times New Roman" w:eastAsia="方正仿宋_GBK" w:cs="Times New Roman"/>
                <w:kern w:val="0"/>
                <w:sz w:val="24"/>
                <w:szCs w:val="20"/>
              </w:rPr>
              <w:t>防范措施</w:t>
            </w:r>
          </w:p>
        </w:tc>
      </w:tr>
    </w:tbl>
    <w:p>
      <w:pPr>
        <w:rPr>
          <w:rFonts w:hint="eastAsia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仿宋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  <w:font w:name="等线 Light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dlMTE1ZmU3OTQ2NTNiN2U4OTY5ZTE2ZGM4ODJiNjIifQ=="/>
  </w:docVars>
  <w:rsids>
    <w:rsidRoot w:val="00B62B80"/>
    <w:rsid w:val="00092C8B"/>
    <w:rsid w:val="000A6C74"/>
    <w:rsid w:val="000D03F0"/>
    <w:rsid w:val="000D1A2F"/>
    <w:rsid w:val="00167389"/>
    <w:rsid w:val="001B62B4"/>
    <w:rsid w:val="001F43B1"/>
    <w:rsid w:val="00262B4B"/>
    <w:rsid w:val="002E459A"/>
    <w:rsid w:val="0031620D"/>
    <w:rsid w:val="00367C17"/>
    <w:rsid w:val="00434FF9"/>
    <w:rsid w:val="004460C9"/>
    <w:rsid w:val="00577C94"/>
    <w:rsid w:val="005F77EB"/>
    <w:rsid w:val="00662797"/>
    <w:rsid w:val="00674D1D"/>
    <w:rsid w:val="006C38B5"/>
    <w:rsid w:val="00702079"/>
    <w:rsid w:val="00753306"/>
    <w:rsid w:val="007738A1"/>
    <w:rsid w:val="007D27B9"/>
    <w:rsid w:val="00803783"/>
    <w:rsid w:val="00827D89"/>
    <w:rsid w:val="008351B0"/>
    <w:rsid w:val="008A060E"/>
    <w:rsid w:val="008D7238"/>
    <w:rsid w:val="00937A06"/>
    <w:rsid w:val="00A02A1F"/>
    <w:rsid w:val="00A759FD"/>
    <w:rsid w:val="00A87C4F"/>
    <w:rsid w:val="00AA038D"/>
    <w:rsid w:val="00B62B80"/>
    <w:rsid w:val="00B704D8"/>
    <w:rsid w:val="00BD0418"/>
    <w:rsid w:val="00C920A3"/>
    <w:rsid w:val="00EB2D63"/>
    <w:rsid w:val="00F7003A"/>
    <w:rsid w:val="257E990D"/>
    <w:rsid w:val="3B915C47"/>
    <w:rsid w:val="6DF3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Normal (Web)"/>
    <w:basedOn w:val="1"/>
    <w:semiHidden/>
    <w:unhideWhenUsed/>
    <w:qFormat/>
    <w:uiPriority w:val="99"/>
    <w:rPr>
      <w:rFonts w:ascii="Times New Roman" w:hAnsi="Times New Roman" w:cs="Times New Roman"/>
      <w:sz w:val="24"/>
      <w:szCs w:val="24"/>
    </w:rPr>
  </w:style>
  <w:style w:type="paragraph" w:styleId="15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7">
    <w:name w:val="Table Grid"/>
    <w:basedOn w:val="16"/>
    <w:qFormat/>
    <w:uiPriority w:val="3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8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8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8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8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8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8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8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8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8"/>
    <w:link w:val="12"/>
    <w:qFormat/>
    <w:uiPriority w:val="99"/>
    <w:rPr>
      <w:sz w:val="18"/>
      <w:szCs w:val="18"/>
    </w:rPr>
  </w:style>
  <w:style w:type="character" w:customStyle="1" w:styleId="38">
    <w:name w:val="页脚 字符"/>
    <w:basedOn w:val="18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3529</Words>
  <Characters>3562</Characters>
  <Lines>29</Lines>
  <Paragraphs>8</Paragraphs>
  <TotalTime>985</TotalTime>
  <ScaleCrop>false</ScaleCrop>
  <LinksUpToDate>false</LinksUpToDate>
  <CharactersWithSpaces>3562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2024-07-25T09:55:00Z</dcterms:created>
  <dc:creator>A7038</dc:creator>
  <cp:lastModifiedBy> </cp:lastModifiedBy>
  <cp:lastPrinted>2024-07-25T10:30:00Z</cp:lastPrinted>
  <dcterms:modified xsi:type="dcterms:W3CDTF">2024-07-31T17:22:32Z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8698A1C2281E4F78A71AD055A17F5DD7_12</vt:lpwstr>
  </property>
</Properties>
</file>