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BA6A441">
      <w:pPr>
        <w:keepNext w:val="0"/>
        <w:keepLines w:val="0"/>
        <w:pageBreakBefore w:val="0"/>
        <w:kinsoku/>
        <w:wordWrap/>
        <w:overflowPunct/>
        <w:topLinePunct w:val="0"/>
        <w:autoSpaceDE/>
        <w:autoSpaceDN/>
        <w:bidi w:val="0"/>
        <w:adjustRightInd/>
        <w:snapToGrid/>
        <w:spacing w:line="300" w:lineRule="exact"/>
        <w:textAlignment w:val="auto"/>
        <w:rPr>
          <w:rFonts w:hint="default" w:ascii="Times New Roman" w:hAnsi="Times New Roman" w:cs="Times New Roman"/>
          <w:sz w:val="24"/>
          <w:szCs w:val="24"/>
        </w:rPr>
      </w:pPr>
    </w:p>
    <w:p w14:paraId="793118A6">
      <w:pPr>
        <w:keepNext w:val="0"/>
        <w:keepLines w:val="0"/>
        <w:pageBreakBefore w:val="0"/>
        <w:kinsoku/>
        <w:wordWrap/>
        <w:overflowPunct/>
        <w:topLinePunct w:val="0"/>
        <w:autoSpaceDE/>
        <w:autoSpaceDN/>
        <w:bidi w:val="0"/>
        <w:adjustRightInd/>
        <w:snapToGrid/>
        <w:spacing w:line="300" w:lineRule="exact"/>
        <w:textAlignment w:val="auto"/>
        <w:rPr>
          <w:rFonts w:hint="default" w:ascii="Times New Roman" w:hAnsi="Times New Roman" w:cs="Times New Roman"/>
          <w:sz w:val="24"/>
          <w:szCs w:val="24"/>
        </w:rPr>
      </w:pPr>
    </w:p>
    <w:p w14:paraId="2DE707B6">
      <w:pPr>
        <w:keepNext w:val="0"/>
        <w:keepLines w:val="0"/>
        <w:pageBreakBefore w:val="0"/>
        <w:kinsoku/>
        <w:wordWrap/>
        <w:overflowPunct/>
        <w:topLinePunct w:val="0"/>
        <w:autoSpaceDE/>
        <w:autoSpaceDN/>
        <w:bidi w:val="0"/>
        <w:adjustRightInd/>
        <w:snapToGrid/>
        <w:spacing w:line="300" w:lineRule="exact"/>
        <w:textAlignment w:val="auto"/>
        <w:rPr>
          <w:rFonts w:hint="default" w:ascii="Times New Roman" w:hAnsi="Times New Roman" w:cs="Times New Roman"/>
          <w:sz w:val="24"/>
          <w:szCs w:val="24"/>
        </w:rPr>
      </w:pPr>
    </w:p>
    <w:p w14:paraId="7A35601D">
      <w:pPr>
        <w:keepNext w:val="0"/>
        <w:keepLines w:val="0"/>
        <w:pageBreakBefore w:val="0"/>
        <w:kinsoku/>
        <w:wordWrap/>
        <w:overflowPunct/>
        <w:topLinePunct w:val="0"/>
        <w:autoSpaceDE/>
        <w:autoSpaceDN/>
        <w:bidi w:val="0"/>
        <w:adjustRightInd/>
        <w:snapToGrid/>
        <w:spacing w:line="300" w:lineRule="exact"/>
        <w:textAlignment w:val="auto"/>
        <w:rPr>
          <w:rFonts w:hint="default" w:ascii="Times New Roman" w:hAnsi="Times New Roman" w:cs="Times New Roman"/>
          <w:sz w:val="24"/>
          <w:szCs w:val="24"/>
        </w:rPr>
      </w:pPr>
    </w:p>
    <w:p w14:paraId="22A4725C">
      <w:pPr>
        <w:keepNext w:val="0"/>
        <w:keepLines w:val="0"/>
        <w:pageBreakBefore w:val="0"/>
        <w:kinsoku/>
        <w:wordWrap/>
        <w:overflowPunct/>
        <w:topLinePunct w:val="0"/>
        <w:autoSpaceDE/>
        <w:autoSpaceDN/>
        <w:bidi w:val="0"/>
        <w:adjustRightInd/>
        <w:snapToGrid/>
        <w:spacing w:line="300" w:lineRule="exact"/>
        <w:textAlignment w:val="auto"/>
        <w:rPr>
          <w:rFonts w:hint="default" w:ascii="Times New Roman" w:hAnsi="Times New Roman" w:cs="Times New Roman"/>
          <w:sz w:val="24"/>
          <w:szCs w:val="24"/>
        </w:rPr>
      </w:pPr>
    </w:p>
    <w:p w14:paraId="4D6D0C16">
      <w:pPr>
        <w:keepNext w:val="0"/>
        <w:keepLines w:val="0"/>
        <w:pageBreakBefore w:val="0"/>
        <w:kinsoku/>
        <w:wordWrap/>
        <w:overflowPunct/>
        <w:topLinePunct w:val="0"/>
        <w:autoSpaceDE/>
        <w:autoSpaceDN/>
        <w:bidi w:val="0"/>
        <w:adjustRightInd/>
        <w:snapToGrid/>
        <w:spacing w:line="300" w:lineRule="exact"/>
        <w:textAlignment w:val="auto"/>
        <w:rPr>
          <w:rFonts w:hint="default" w:ascii="Times New Roman" w:hAnsi="Times New Roman" w:cs="Times New Roman"/>
          <w:sz w:val="24"/>
          <w:szCs w:val="24"/>
        </w:rPr>
      </w:pPr>
    </w:p>
    <w:p w14:paraId="6C9C2D30">
      <w:pPr>
        <w:keepNext w:val="0"/>
        <w:keepLines w:val="0"/>
        <w:pageBreakBefore w:val="0"/>
        <w:kinsoku/>
        <w:wordWrap/>
        <w:overflowPunct/>
        <w:topLinePunct w:val="0"/>
        <w:autoSpaceDE/>
        <w:autoSpaceDN/>
        <w:bidi w:val="0"/>
        <w:adjustRightInd/>
        <w:snapToGrid/>
        <w:spacing w:line="300" w:lineRule="exact"/>
        <w:textAlignment w:val="auto"/>
        <w:rPr>
          <w:rFonts w:hint="default" w:ascii="Times New Roman" w:hAnsi="Times New Roman" w:cs="Times New Roman"/>
          <w:sz w:val="24"/>
          <w:szCs w:val="24"/>
        </w:rPr>
      </w:pPr>
    </w:p>
    <w:p w14:paraId="4CC45AE1">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kern w:val="0"/>
          <w:sz w:val="36"/>
          <w:szCs w:val="16"/>
          <w:lang w:val="en-US" w:eastAsia="zh-CN" w:bidi="ar-SA"/>
        </w:rPr>
      </w:pPr>
      <w:r>
        <w:rPr>
          <w:rFonts w:hint="default" w:ascii="Times New Roman" w:hAnsi="Times New Roman" w:eastAsia="黑体" w:cs="Times New Roman"/>
          <w:kern w:val="0"/>
          <w:sz w:val="36"/>
          <w:szCs w:val="16"/>
          <w:lang w:val="en-US" w:eastAsia="zh-CN" w:bidi="ar-SA"/>
        </w:rPr>
        <w:t>江苏省地方标准</w:t>
      </w:r>
    </w:p>
    <w:p w14:paraId="6B7AA091">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kern w:val="0"/>
          <w:sz w:val="36"/>
          <w:szCs w:val="16"/>
          <w:lang w:val="en-US" w:eastAsia="zh-CN" w:bidi="ar-SA"/>
        </w:rPr>
      </w:pPr>
    </w:p>
    <w:p w14:paraId="466428E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黑体" w:cs="Times New Roman"/>
          <w:kern w:val="0"/>
          <w:sz w:val="36"/>
          <w:szCs w:val="16"/>
          <w:lang w:val="en-US" w:eastAsia="zh-CN" w:bidi="ar-SA"/>
        </w:rPr>
      </w:pPr>
      <w:r>
        <w:rPr>
          <w:rFonts w:hint="default" w:ascii="Times New Roman" w:hAnsi="Times New Roman" w:eastAsia="黑体" w:cs="Times New Roman"/>
          <w:kern w:val="0"/>
          <w:sz w:val="36"/>
          <w:szCs w:val="16"/>
          <w:lang w:val="en-US" w:eastAsia="zh-CN" w:bidi="ar-SA"/>
        </w:rPr>
        <w:t>电动自行车</w:t>
      </w:r>
      <w:r>
        <w:rPr>
          <w:rFonts w:hint="eastAsia" w:ascii="Times New Roman" w:hAnsi="Times New Roman" w:eastAsia="黑体" w:cs="Times New Roman"/>
          <w:kern w:val="0"/>
          <w:sz w:val="36"/>
          <w:szCs w:val="16"/>
          <w:lang w:val="en-US" w:eastAsia="zh-CN" w:bidi="ar-SA"/>
        </w:rPr>
        <w:t>锂离子</w:t>
      </w:r>
      <w:r>
        <w:rPr>
          <w:rFonts w:hint="default" w:ascii="Times New Roman" w:hAnsi="Times New Roman" w:eastAsia="黑体" w:cs="Times New Roman"/>
          <w:kern w:val="0"/>
          <w:sz w:val="36"/>
          <w:szCs w:val="16"/>
          <w:lang w:val="en-US" w:eastAsia="zh-CN" w:bidi="ar-SA"/>
        </w:rPr>
        <w:t>电池充换电</w:t>
      </w:r>
      <w:r>
        <w:rPr>
          <w:rFonts w:hint="eastAsia" w:ascii="Times New Roman" w:hAnsi="Times New Roman" w:eastAsia="黑体" w:cs="Times New Roman"/>
          <w:kern w:val="0"/>
          <w:sz w:val="36"/>
          <w:szCs w:val="16"/>
          <w:lang w:val="en-US" w:eastAsia="zh-CN" w:bidi="ar-SA"/>
        </w:rPr>
        <w:t>柜</w:t>
      </w:r>
    </w:p>
    <w:p w14:paraId="3A3F27A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kern w:val="0"/>
          <w:sz w:val="36"/>
          <w:szCs w:val="16"/>
          <w:lang w:val="en-US" w:eastAsia="zh-CN" w:bidi="ar-SA"/>
        </w:rPr>
      </w:pPr>
      <w:r>
        <w:rPr>
          <w:rFonts w:hint="default" w:ascii="Times New Roman" w:hAnsi="Times New Roman" w:eastAsia="黑体" w:cs="Times New Roman"/>
          <w:kern w:val="0"/>
          <w:sz w:val="36"/>
          <w:szCs w:val="16"/>
          <w:lang w:val="en-US" w:eastAsia="zh-CN" w:bidi="ar-SA"/>
        </w:rPr>
        <w:t>安全技术要求</w:t>
      </w:r>
    </w:p>
    <w:p w14:paraId="5123D0FA">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kern w:val="0"/>
          <w:sz w:val="40"/>
          <w:szCs w:val="40"/>
          <w:lang w:val="en-US" w:eastAsia="zh-CN" w:bidi="ar-SA"/>
        </w:rPr>
      </w:pPr>
      <w:r>
        <w:rPr>
          <w:rFonts w:hint="default" w:ascii="Times New Roman" w:hAnsi="Times New Roman" w:eastAsia="黑体" w:cs="Times New Roman"/>
          <w:sz w:val="28"/>
          <w:szCs w:val="40"/>
        </w:rPr>
        <w:t>Safety technical reuirements for electric bicycle swapping and changing battery swap cabinet</w:t>
      </w:r>
    </w:p>
    <w:p w14:paraId="7797A755">
      <w:pPr>
        <w:keepNext w:val="0"/>
        <w:keepLines w:val="0"/>
        <w:pageBreakBefore w:val="0"/>
        <w:kinsoku/>
        <w:wordWrap/>
        <w:overflowPunct/>
        <w:topLinePunct w:val="0"/>
        <w:autoSpaceDE/>
        <w:autoSpaceDN/>
        <w:bidi w:val="0"/>
        <w:adjustRightInd/>
        <w:snapToGrid/>
        <w:spacing w:line="300" w:lineRule="exact"/>
        <w:textAlignment w:val="auto"/>
        <w:rPr>
          <w:rFonts w:hint="default" w:ascii="Times New Roman" w:hAnsi="Times New Roman" w:cs="Times New Roman"/>
          <w:sz w:val="24"/>
          <w:szCs w:val="24"/>
          <w:lang w:val="en-US" w:eastAsia="zh-CN"/>
        </w:rPr>
      </w:pPr>
      <w:r>
        <w:rPr>
          <w:rFonts w:hint="default" w:ascii="Times New Roman" w:hAnsi="Times New Roman" w:cs="Times New Roman"/>
          <w:sz w:val="24"/>
          <w:szCs w:val="24"/>
          <w:lang w:val="en-US" w:eastAsia="zh-CN"/>
        </w:rPr>
        <w:t xml:space="preserve">  </w:t>
      </w:r>
    </w:p>
    <w:p w14:paraId="44CC3D7D">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w:hAnsi="Times New Roman" w:cs="Times New Roman"/>
          <w:sz w:val="24"/>
          <w:szCs w:val="24"/>
          <w:lang w:val="en-US" w:eastAsia="zh-CN"/>
        </w:rPr>
      </w:pPr>
    </w:p>
    <w:p w14:paraId="67AAE35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32"/>
          <w:szCs w:val="32"/>
          <w:lang w:val="en-US" w:eastAsia="zh-CN"/>
        </w:rPr>
      </w:pPr>
      <w:r>
        <w:rPr>
          <w:rFonts w:hint="default" w:ascii="Times New Roman" w:hAnsi="Times New Roman" w:cs="Times New Roman"/>
          <w:sz w:val="36"/>
          <w:szCs w:val="36"/>
          <w:lang w:val="en-US" w:eastAsia="zh-CN"/>
        </w:rPr>
        <w:t>编制说明</w:t>
      </w:r>
    </w:p>
    <w:p w14:paraId="189FCA0D">
      <w:pPr>
        <w:keepNext w:val="0"/>
        <w:keepLines w:val="0"/>
        <w:pageBreakBefore w:val="0"/>
        <w:kinsoku/>
        <w:wordWrap/>
        <w:overflowPunct/>
        <w:topLinePunct w:val="0"/>
        <w:autoSpaceDE/>
        <w:autoSpaceDN/>
        <w:bidi w:val="0"/>
        <w:adjustRightInd/>
        <w:snapToGrid/>
        <w:spacing w:line="300" w:lineRule="exact"/>
        <w:textAlignment w:val="auto"/>
        <w:rPr>
          <w:rFonts w:hint="default" w:ascii="Times New Roman" w:hAnsi="Times New Roman" w:cs="Times New Roman"/>
          <w:sz w:val="24"/>
          <w:szCs w:val="24"/>
        </w:rPr>
      </w:pPr>
    </w:p>
    <w:p w14:paraId="4EA0982A">
      <w:pPr>
        <w:keepNext w:val="0"/>
        <w:keepLines w:val="0"/>
        <w:pageBreakBefore w:val="0"/>
        <w:kinsoku/>
        <w:wordWrap/>
        <w:overflowPunct/>
        <w:topLinePunct w:val="0"/>
        <w:autoSpaceDE/>
        <w:autoSpaceDN/>
        <w:bidi w:val="0"/>
        <w:adjustRightInd/>
        <w:snapToGrid/>
        <w:spacing w:line="300" w:lineRule="exact"/>
        <w:textAlignment w:val="auto"/>
        <w:rPr>
          <w:rFonts w:hint="default" w:ascii="Times New Roman" w:hAnsi="Times New Roman" w:cs="Times New Roman"/>
          <w:sz w:val="24"/>
          <w:szCs w:val="24"/>
        </w:rPr>
      </w:pPr>
    </w:p>
    <w:p w14:paraId="20D1064A">
      <w:pPr>
        <w:keepNext w:val="0"/>
        <w:keepLines w:val="0"/>
        <w:pageBreakBefore w:val="0"/>
        <w:kinsoku/>
        <w:wordWrap/>
        <w:overflowPunct/>
        <w:topLinePunct w:val="0"/>
        <w:autoSpaceDE/>
        <w:autoSpaceDN/>
        <w:bidi w:val="0"/>
        <w:adjustRightInd/>
        <w:snapToGrid/>
        <w:spacing w:line="300" w:lineRule="exact"/>
        <w:textAlignment w:val="auto"/>
        <w:rPr>
          <w:rFonts w:hint="default" w:ascii="Times New Roman" w:hAnsi="Times New Roman" w:cs="Times New Roman"/>
          <w:sz w:val="24"/>
          <w:szCs w:val="24"/>
        </w:rPr>
      </w:pPr>
    </w:p>
    <w:p w14:paraId="2EC97B9F">
      <w:pPr>
        <w:keepNext w:val="0"/>
        <w:keepLines w:val="0"/>
        <w:pageBreakBefore w:val="0"/>
        <w:kinsoku/>
        <w:wordWrap/>
        <w:overflowPunct/>
        <w:topLinePunct w:val="0"/>
        <w:autoSpaceDE/>
        <w:autoSpaceDN/>
        <w:bidi w:val="0"/>
        <w:adjustRightInd/>
        <w:snapToGrid/>
        <w:spacing w:line="300" w:lineRule="exact"/>
        <w:textAlignment w:val="auto"/>
        <w:rPr>
          <w:rFonts w:hint="default" w:ascii="Times New Roman" w:hAnsi="Times New Roman" w:cs="Times New Roman"/>
          <w:sz w:val="24"/>
          <w:szCs w:val="24"/>
        </w:rPr>
      </w:pPr>
    </w:p>
    <w:p w14:paraId="2B7727BF">
      <w:pPr>
        <w:keepNext w:val="0"/>
        <w:keepLines w:val="0"/>
        <w:pageBreakBefore w:val="0"/>
        <w:kinsoku/>
        <w:wordWrap/>
        <w:overflowPunct/>
        <w:topLinePunct w:val="0"/>
        <w:autoSpaceDE/>
        <w:autoSpaceDN/>
        <w:bidi w:val="0"/>
        <w:adjustRightInd/>
        <w:snapToGrid/>
        <w:spacing w:line="300" w:lineRule="exact"/>
        <w:textAlignment w:val="auto"/>
        <w:rPr>
          <w:rFonts w:hint="default" w:ascii="Times New Roman" w:hAnsi="Times New Roman" w:cs="Times New Roman"/>
          <w:sz w:val="24"/>
          <w:szCs w:val="24"/>
        </w:rPr>
      </w:pPr>
    </w:p>
    <w:p w14:paraId="50F71EA6">
      <w:pPr>
        <w:keepNext w:val="0"/>
        <w:keepLines w:val="0"/>
        <w:pageBreakBefore w:val="0"/>
        <w:kinsoku/>
        <w:wordWrap/>
        <w:overflowPunct/>
        <w:topLinePunct w:val="0"/>
        <w:autoSpaceDE/>
        <w:autoSpaceDN/>
        <w:bidi w:val="0"/>
        <w:adjustRightInd/>
        <w:snapToGrid/>
        <w:spacing w:line="300" w:lineRule="exact"/>
        <w:textAlignment w:val="auto"/>
        <w:rPr>
          <w:rFonts w:hint="default" w:ascii="Times New Roman" w:hAnsi="Times New Roman" w:cs="Times New Roman"/>
          <w:sz w:val="24"/>
          <w:szCs w:val="24"/>
        </w:rPr>
      </w:pPr>
    </w:p>
    <w:p w14:paraId="33262F1D">
      <w:pPr>
        <w:keepNext w:val="0"/>
        <w:keepLines w:val="0"/>
        <w:pageBreakBefore w:val="0"/>
        <w:kinsoku/>
        <w:wordWrap/>
        <w:overflowPunct/>
        <w:topLinePunct w:val="0"/>
        <w:autoSpaceDE/>
        <w:autoSpaceDN/>
        <w:bidi w:val="0"/>
        <w:adjustRightInd/>
        <w:snapToGrid/>
        <w:spacing w:line="300" w:lineRule="exact"/>
        <w:textAlignment w:val="auto"/>
        <w:rPr>
          <w:rFonts w:hint="default" w:ascii="Times New Roman" w:hAnsi="Times New Roman" w:cs="Times New Roman"/>
          <w:sz w:val="24"/>
          <w:szCs w:val="24"/>
        </w:rPr>
      </w:pPr>
    </w:p>
    <w:p w14:paraId="1A7C2329">
      <w:pPr>
        <w:keepNext w:val="0"/>
        <w:keepLines w:val="0"/>
        <w:pageBreakBefore w:val="0"/>
        <w:kinsoku/>
        <w:wordWrap/>
        <w:overflowPunct/>
        <w:topLinePunct w:val="0"/>
        <w:autoSpaceDE/>
        <w:autoSpaceDN/>
        <w:bidi w:val="0"/>
        <w:adjustRightInd/>
        <w:snapToGrid/>
        <w:spacing w:line="300" w:lineRule="exact"/>
        <w:textAlignment w:val="auto"/>
        <w:rPr>
          <w:rFonts w:hint="default" w:ascii="Times New Roman" w:hAnsi="Times New Roman" w:cs="Times New Roman"/>
          <w:sz w:val="24"/>
          <w:szCs w:val="24"/>
        </w:rPr>
      </w:pPr>
    </w:p>
    <w:p w14:paraId="09504619">
      <w:pPr>
        <w:keepNext w:val="0"/>
        <w:keepLines w:val="0"/>
        <w:pageBreakBefore w:val="0"/>
        <w:kinsoku/>
        <w:wordWrap/>
        <w:overflowPunct/>
        <w:topLinePunct w:val="0"/>
        <w:autoSpaceDE/>
        <w:autoSpaceDN/>
        <w:bidi w:val="0"/>
        <w:adjustRightInd/>
        <w:snapToGrid/>
        <w:spacing w:line="300" w:lineRule="exact"/>
        <w:textAlignment w:val="auto"/>
        <w:rPr>
          <w:rFonts w:hint="default" w:ascii="Times New Roman" w:hAnsi="Times New Roman" w:cs="Times New Roman"/>
          <w:sz w:val="24"/>
          <w:szCs w:val="24"/>
        </w:rPr>
      </w:pPr>
    </w:p>
    <w:p w14:paraId="4754E429">
      <w:pPr>
        <w:keepNext w:val="0"/>
        <w:keepLines w:val="0"/>
        <w:pageBreakBefore w:val="0"/>
        <w:kinsoku/>
        <w:wordWrap/>
        <w:overflowPunct/>
        <w:topLinePunct w:val="0"/>
        <w:autoSpaceDE/>
        <w:autoSpaceDN/>
        <w:bidi w:val="0"/>
        <w:adjustRightInd/>
        <w:snapToGrid/>
        <w:spacing w:line="300" w:lineRule="exact"/>
        <w:textAlignment w:val="auto"/>
        <w:rPr>
          <w:rFonts w:hint="default" w:ascii="Times New Roman" w:hAnsi="Times New Roman" w:cs="Times New Roman"/>
          <w:sz w:val="24"/>
          <w:szCs w:val="24"/>
        </w:rPr>
      </w:pPr>
    </w:p>
    <w:p w14:paraId="3EFBD6A1">
      <w:pPr>
        <w:keepNext w:val="0"/>
        <w:keepLines w:val="0"/>
        <w:pageBreakBefore w:val="0"/>
        <w:kinsoku/>
        <w:wordWrap/>
        <w:overflowPunct/>
        <w:topLinePunct w:val="0"/>
        <w:autoSpaceDE/>
        <w:autoSpaceDN/>
        <w:bidi w:val="0"/>
        <w:adjustRightInd/>
        <w:snapToGrid/>
        <w:spacing w:line="300" w:lineRule="exact"/>
        <w:textAlignment w:val="auto"/>
        <w:rPr>
          <w:rFonts w:hint="default" w:ascii="Times New Roman" w:hAnsi="Times New Roman" w:cs="Times New Roman"/>
          <w:sz w:val="24"/>
          <w:szCs w:val="24"/>
        </w:rPr>
      </w:pPr>
    </w:p>
    <w:p w14:paraId="18394602">
      <w:pPr>
        <w:keepNext w:val="0"/>
        <w:keepLines w:val="0"/>
        <w:pageBreakBefore w:val="0"/>
        <w:kinsoku/>
        <w:wordWrap/>
        <w:overflowPunct/>
        <w:topLinePunct w:val="0"/>
        <w:autoSpaceDE/>
        <w:autoSpaceDN/>
        <w:bidi w:val="0"/>
        <w:adjustRightInd/>
        <w:snapToGrid/>
        <w:spacing w:line="300" w:lineRule="exact"/>
        <w:textAlignment w:val="auto"/>
        <w:rPr>
          <w:rFonts w:hint="default" w:ascii="Times New Roman" w:hAnsi="Times New Roman" w:cs="Times New Roman"/>
          <w:sz w:val="24"/>
          <w:szCs w:val="24"/>
        </w:rPr>
      </w:pPr>
    </w:p>
    <w:p w14:paraId="7AD69F94">
      <w:pPr>
        <w:keepNext w:val="0"/>
        <w:keepLines w:val="0"/>
        <w:pageBreakBefore w:val="0"/>
        <w:kinsoku/>
        <w:wordWrap/>
        <w:overflowPunct/>
        <w:topLinePunct w:val="0"/>
        <w:autoSpaceDE/>
        <w:autoSpaceDN/>
        <w:bidi w:val="0"/>
        <w:adjustRightInd/>
        <w:snapToGrid/>
        <w:spacing w:line="300" w:lineRule="exact"/>
        <w:textAlignment w:val="auto"/>
        <w:rPr>
          <w:rFonts w:hint="default" w:ascii="Times New Roman" w:hAnsi="Times New Roman" w:cs="Times New Roman"/>
          <w:sz w:val="24"/>
          <w:szCs w:val="24"/>
        </w:rPr>
      </w:pPr>
    </w:p>
    <w:p w14:paraId="54FC476B">
      <w:pPr>
        <w:keepNext w:val="0"/>
        <w:keepLines w:val="0"/>
        <w:pageBreakBefore w:val="0"/>
        <w:kinsoku/>
        <w:wordWrap/>
        <w:overflowPunct/>
        <w:topLinePunct w:val="0"/>
        <w:autoSpaceDE/>
        <w:autoSpaceDN/>
        <w:bidi w:val="0"/>
        <w:adjustRightInd/>
        <w:snapToGrid/>
        <w:spacing w:line="300" w:lineRule="exact"/>
        <w:textAlignment w:val="auto"/>
        <w:rPr>
          <w:rFonts w:hint="default" w:ascii="Times New Roman" w:hAnsi="Times New Roman" w:cs="Times New Roman"/>
          <w:sz w:val="24"/>
          <w:szCs w:val="24"/>
        </w:rPr>
      </w:pPr>
    </w:p>
    <w:p w14:paraId="3AB5B8D8">
      <w:pPr>
        <w:keepNext w:val="0"/>
        <w:keepLines w:val="0"/>
        <w:pageBreakBefore w:val="0"/>
        <w:kinsoku/>
        <w:wordWrap/>
        <w:overflowPunct/>
        <w:topLinePunct w:val="0"/>
        <w:autoSpaceDE/>
        <w:autoSpaceDN/>
        <w:bidi w:val="0"/>
        <w:adjustRightInd/>
        <w:snapToGrid/>
        <w:spacing w:line="300" w:lineRule="exact"/>
        <w:textAlignment w:val="auto"/>
        <w:rPr>
          <w:rFonts w:hint="default" w:ascii="Times New Roman" w:hAnsi="Times New Roman" w:cs="Times New Roman"/>
          <w:sz w:val="24"/>
          <w:szCs w:val="24"/>
        </w:rPr>
      </w:pPr>
    </w:p>
    <w:p w14:paraId="699044E7">
      <w:pPr>
        <w:keepNext w:val="0"/>
        <w:keepLines w:val="0"/>
        <w:pageBreakBefore w:val="0"/>
        <w:kinsoku/>
        <w:wordWrap/>
        <w:overflowPunct/>
        <w:topLinePunct w:val="0"/>
        <w:autoSpaceDE/>
        <w:autoSpaceDN/>
        <w:bidi w:val="0"/>
        <w:adjustRightInd/>
        <w:snapToGrid/>
        <w:spacing w:line="300" w:lineRule="exact"/>
        <w:textAlignment w:val="auto"/>
        <w:rPr>
          <w:rFonts w:hint="default" w:ascii="Times New Roman" w:hAnsi="Times New Roman" w:cs="Times New Roman"/>
          <w:sz w:val="24"/>
          <w:szCs w:val="24"/>
        </w:rPr>
      </w:pPr>
    </w:p>
    <w:p w14:paraId="112DB7B0">
      <w:pPr>
        <w:keepNext w:val="0"/>
        <w:keepLines w:val="0"/>
        <w:pageBreakBefore w:val="0"/>
        <w:kinsoku/>
        <w:wordWrap/>
        <w:overflowPunct/>
        <w:topLinePunct w:val="0"/>
        <w:autoSpaceDE/>
        <w:autoSpaceDN/>
        <w:bidi w:val="0"/>
        <w:adjustRightInd/>
        <w:snapToGrid/>
        <w:spacing w:line="300" w:lineRule="exact"/>
        <w:textAlignment w:val="auto"/>
        <w:rPr>
          <w:rFonts w:hint="default" w:ascii="Times New Roman" w:hAnsi="Times New Roman" w:cs="Times New Roman"/>
          <w:sz w:val="24"/>
          <w:szCs w:val="24"/>
        </w:rPr>
      </w:pPr>
    </w:p>
    <w:p w14:paraId="7FC26EE6">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cs="Times New Roman"/>
          <w:sz w:val="24"/>
          <w:szCs w:val="24"/>
        </w:rPr>
      </w:pPr>
    </w:p>
    <w:p w14:paraId="6F6B9A2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sz w:val="28"/>
          <w:szCs w:val="28"/>
          <w:lang w:val="en-US" w:eastAsia="zh-CN"/>
        </w:rPr>
      </w:pPr>
      <w:r>
        <w:rPr>
          <w:rFonts w:hint="default" w:ascii="Times New Roman" w:hAnsi="Times New Roman" w:eastAsia="黑体" w:cs="Times New Roman"/>
          <w:sz w:val="28"/>
          <w:szCs w:val="28"/>
          <w:lang w:val="en-US" w:eastAsia="zh-CN"/>
        </w:rPr>
        <w:t>标准编制组</w:t>
      </w:r>
    </w:p>
    <w:p w14:paraId="2B75A81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sz w:val="28"/>
          <w:szCs w:val="28"/>
          <w:lang w:val="en-US" w:eastAsia="zh-CN"/>
        </w:rPr>
        <w:sectPr>
          <w:pgSz w:w="11906" w:h="16838"/>
          <w:pgMar w:top="1440" w:right="1800" w:bottom="1440" w:left="1800" w:header="851" w:footer="992" w:gutter="0"/>
          <w:cols w:space="425" w:num="1"/>
          <w:docGrid w:type="lines" w:linePitch="312" w:charSpace="0"/>
        </w:sectPr>
      </w:pPr>
      <w:r>
        <w:rPr>
          <w:rFonts w:hint="default" w:ascii="Times New Roman" w:hAnsi="Times New Roman" w:eastAsia="黑体" w:cs="Times New Roman"/>
          <w:sz w:val="28"/>
          <w:szCs w:val="28"/>
          <w:lang w:val="en-US" w:eastAsia="zh-CN"/>
        </w:rPr>
        <w:t>二〇二</w:t>
      </w:r>
      <w:r>
        <w:rPr>
          <w:rFonts w:hint="eastAsia" w:ascii="Times New Roman" w:hAnsi="Times New Roman" w:eastAsia="黑体" w:cs="Times New Roman"/>
          <w:sz w:val="28"/>
          <w:szCs w:val="28"/>
          <w:lang w:val="en-US" w:eastAsia="zh-CN"/>
        </w:rPr>
        <w:t>五</w:t>
      </w:r>
      <w:r>
        <w:rPr>
          <w:rFonts w:hint="default" w:ascii="Times New Roman" w:hAnsi="Times New Roman" w:eastAsia="黑体" w:cs="Times New Roman"/>
          <w:sz w:val="28"/>
          <w:szCs w:val="28"/>
          <w:lang w:val="en-US" w:eastAsia="zh-CN"/>
        </w:rPr>
        <w:t>年</w:t>
      </w:r>
      <w:r>
        <w:rPr>
          <w:rFonts w:hint="eastAsia" w:ascii="Times New Roman" w:hAnsi="Times New Roman" w:eastAsia="黑体" w:cs="Times New Roman"/>
          <w:sz w:val="28"/>
          <w:szCs w:val="28"/>
          <w:lang w:val="en-US" w:eastAsia="zh-CN"/>
        </w:rPr>
        <w:t>二</w:t>
      </w:r>
      <w:r>
        <w:rPr>
          <w:rFonts w:hint="default" w:ascii="Times New Roman" w:hAnsi="Times New Roman" w:eastAsia="黑体" w:cs="Times New Roman"/>
          <w:sz w:val="28"/>
          <w:szCs w:val="28"/>
          <w:lang w:val="en-US" w:eastAsia="zh-CN"/>
        </w:rPr>
        <w:t>月</w:t>
      </w:r>
    </w:p>
    <w:sdt>
      <w:sdtPr>
        <w:rPr>
          <w:rFonts w:ascii="宋体" w:hAnsi="宋体" w:eastAsia="宋体"/>
          <w:sz w:val="21"/>
        </w:rPr>
        <w:id w:val="147452477"/>
        <w:docPartObj>
          <w:docPartGallery w:val="Table of Contents"/>
          <w:docPartUnique/>
        </w:docPartObj>
      </w:sdtPr>
      <w:sdtEndPr>
        <w:rPr>
          <w:rFonts w:asciiTheme="minorHAnsi" w:hAnsiTheme="minorHAnsi" w:eastAsiaTheme="minorEastAsia" w:cstheme="minorBidi"/>
          <w:sz w:val="20"/>
          <w:szCs w:val="20"/>
        </w:rPr>
      </w:sdtEndPr>
      <w:sdtContent>
        <w:p w14:paraId="7613842B">
          <w:pPr>
            <w:jc w:val="center"/>
          </w:pPr>
          <w:r>
            <w:rPr>
              <w:rFonts w:hint="eastAsia" w:ascii="黑体" w:hAnsi="黑体" w:eastAsia="黑体" w:cs="黑体"/>
              <w:sz w:val="32"/>
              <w:szCs w:val="28"/>
            </w:rPr>
            <w:t>目</w:t>
          </w:r>
          <w:r>
            <w:rPr>
              <w:rFonts w:hint="eastAsia" w:ascii="黑体" w:hAnsi="黑体" w:eastAsia="黑体" w:cs="黑体"/>
              <w:sz w:val="32"/>
              <w:szCs w:val="28"/>
              <w:lang w:val="en-US" w:eastAsia="zh-CN"/>
            </w:rPr>
            <w:t xml:space="preserve"> </w:t>
          </w:r>
          <w:r>
            <w:rPr>
              <w:rFonts w:hint="eastAsia" w:ascii="黑体" w:hAnsi="黑体" w:eastAsia="黑体" w:cs="黑体"/>
              <w:sz w:val="32"/>
              <w:szCs w:val="28"/>
            </w:rPr>
            <w:t>录</w:t>
          </w:r>
        </w:p>
        <w:p w14:paraId="0C1747B6">
          <w:pPr>
            <w:pStyle w:val="23"/>
            <w:tabs>
              <w:tab w:val="right" w:leader="dot" w:pos="8306"/>
            </w:tabs>
            <w:spacing w:line="360" w:lineRule="auto"/>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_Toc27821 </w:instrText>
          </w:r>
          <w:r>
            <w:rPr>
              <w:rFonts w:hint="eastAsia" w:ascii="宋体" w:hAnsi="宋体" w:eastAsia="宋体" w:cs="宋体"/>
            </w:rPr>
            <w:fldChar w:fldCharType="separate"/>
          </w:r>
          <w:sdt>
            <w:sdtPr>
              <w:rPr>
                <w:rFonts w:hint="eastAsia" w:ascii="宋体" w:hAnsi="宋体" w:eastAsia="宋体" w:cs="宋体"/>
                <w:kern w:val="2"/>
                <w:sz w:val="21"/>
                <w:szCs w:val="24"/>
                <w:lang w:val="en-US" w:eastAsia="zh-CN" w:bidi="ar-SA"/>
              </w:rPr>
              <w:id w:val="147452014"/>
              <w:placeholder>
                <w:docPart w:val="{8354397b-4f5d-484b-83dd-cb848492f26e}"/>
              </w:placeholder>
            </w:sdtPr>
            <w:sdtEndPr>
              <w:rPr>
                <w:rFonts w:hint="eastAsia" w:ascii="宋体" w:hAnsi="宋体" w:eastAsia="宋体" w:cs="宋体"/>
                <w:kern w:val="2"/>
                <w:sz w:val="21"/>
                <w:szCs w:val="24"/>
                <w:lang w:val="en-US" w:eastAsia="zh-CN" w:bidi="ar-SA"/>
              </w:rPr>
            </w:sdtEndPr>
            <w:sdtContent>
              <w:r>
                <w:rPr>
                  <w:rFonts w:hint="eastAsia" w:ascii="宋体" w:hAnsi="宋体" w:eastAsia="宋体" w:cs="宋体"/>
                </w:rPr>
                <w:t>一、目的意义</w:t>
              </w:r>
            </w:sdtContent>
          </w:sdt>
          <w:r>
            <w:rPr>
              <w:rFonts w:hint="eastAsia" w:ascii="宋体" w:hAnsi="宋体" w:eastAsia="宋体" w:cs="宋体"/>
            </w:rPr>
            <w:tab/>
          </w:r>
          <w:r>
            <w:rPr>
              <w:rFonts w:hint="eastAsia" w:ascii="宋体" w:hAnsi="宋体" w:eastAsia="宋体" w:cs="宋体"/>
            </w:rPr>
            <w:t>1</w:t>
          </w:r>
          <w:r>
            <w:rPr>
              <w:rFonts w:hint="eastAsia" w:ascii="宋体" w:hAnsi="宋体" w:eastAsia="宋体" w:cs="宋体"/>
            </w:rPr>
            <w:fldChar w:fldCharType="end"/>
          </w:r>
        </w:p>
        <w:p w14:paraId="460DEB2A">
          <w:pPr>
            <w:pStyle w:val="23"/>
            <w:tabs>
              <w:tab w:val="right" w:leader="dot" w:pos="8306"/>
            </w:tabs>
            <w:spacing w:line="360" w:lineRule="auto"/>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_Toc8302 </w:instrText>
          </w:r>
          <w:r>
            <w:rPr>
              <w:rFonts w:hint="eastAsia" w:ascii="宋体" w:hAnsi="宋体" w:eastAsia="宋体" w:cs="宋体"/>
            </w:rPr>
            <w:fldChar w:fldCharType="separate"/>
          </w:r>
          <w:sdt>
            <w:sdtPr>
              <w:rPr>
                <w:rFonts w:hint="eastAsia" w:ascii="宋体" w:hAnsi="宋体" w:eastAsia="宋体" w:cs="宋体"/>
                <w:kern w:val="2"/>
                <w:sz w:val="21"/>
                <w:szCs w:val="24"/>
                <w:lang w:val="en-US" w:eastAsia="zh-CN" w:bidi="ar-SA"/>
              </w:rPr>
              <w:id w:val="147477754"/>
              <w:placeholder>
                <w:docPart w:val="{07f05882-59cd-480a-a3cb-fb477fcd4ec4}"/>
              </w:placeholder>
            </w:sdtPr>
            <w:sdtEndPr>
              <w:rPr>
                <w:rFonts w:hint="eastAsia" w:ascii="宋体" w:hAnsi="宋体" w:eastAsia="宋体" w:cs="宋体"/>
                <w:kern w:val="2"/>
                <w:sz w:val="21"/>
                <w:szCs w:val="24"/>
                <w:lang w:val="en-US" w:eastAsia="zh-CN" w:bidi="ar-SA"/>
              </w:rPr>
            </w:sdtEndPr>
            <w:sdtContent>
              <w:r>
                <w:rPr>
                  <w:rFonts w:hint="eastAsia" w:ascii="宋体" w:hAnsi="宋体" w:eastAsia="宋体" w:cs="宋体"/>
                </w:rPr>
                <w:t>二、任务来源</w:t>
              </w:r>
            </w:sdtContent>
          </w:sdt>
          <w:r>
            <w:rPr>
              <w:rFonts w:hint="eastAsia" w:ascii="宋体" w:hAnsi="宋体" w:eastAsia="宋体" w:cs="宋体"/>
            </w:rPr>
            <w:tab/>
          </w:r>
          <w:r>
            <w:rPr>
              <w:rFonts w:hint="eastAsia" w:ascii="宋体" w:hAnsi="宋体" w:eastAsia="宋体" w:cs="宋体"/>
            </w:rPr>
            <w:t>2</w:t>
          </w:r>
          <w:r>
            <w:rPr>
              <w:rFonts w:hint="eastAsia" w:ascii="宋体" w:hAnsi="宋体" w:eastAsia="宋体" w:cs="宋体"/>
            </w:rPr>
            <w:fldChar w:fldCharType="end"/>
          </w:r>
        </w:p>
        <w:p w14:paraId="40E4C3EC">
          <w:pPr>
            <w:pStyle w:val="23"/>
            <w:tabs>
              <w:tab w:val="right" w:leader="dot" w:pos="8306"/>
            </w:tabs>
            <w:spacing w:line="360" w:lineRule="auto"/>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_Toc991 </w:instrText>
          </w:r>
          <w:r>
            <w:rPr>
              <w:rFonts w:hint="eastAsia" w:ascii="宋体" w:hAnsi="宋体" w:eastAsia="宋体" w:cs="宋体"/>
            </w:rPr>
            <w:fldChar w:fldCharType="separate"/>
          </w:r>
          <w:sdt>
            <w:sdtPr>
              <w:rPr>
                <w:rFonts w:hint="eastAsia" w:ascii="宋体" w:hAnsi="宋体" w:eastAsia="宋体" w:cs="宋体"/>
                <w:kern w:val="2"/>
                <w:sz w:val="21"/>
                <w:szCs w:val="24"/>
                <w:lang w:val="en-US" w:eastAsia="zh-CN" w:bidi="ar-SA"/>
              </w:rPr>
              <w:id w:val="147459463"/>
              <w:placeholder>
                <w:docPart w:val="{40d0f021-dfc8-429c-b74f-70b1c92564f4}"/>
              </w:placeholder>
            </w:sdtPr>
            <w:sdtEndPr>
              <w:rPr>
                <w:rFonts w:hint="eastAsia" w:ascii="宋体" w:hAnsi="宋体" w:eastAsia="宋体" w:cs="宋体"/>
                <w:kern w:val="2"/>
                <w:sz w:val="21"/>
                <w:szCs w:val="24"/>
                <w:lang w:val="en-US" w:eastAsia="zh-CN" w:bidi="ar-SA"/>
              </w:rPr>
            </w:sdtEndPr>
            <w:sdtContent>
              <w:r>
                <w:rPr>
                  <w:rFonts w:hint="eastAsia" w:ascii="宋体" w:hAnsi="宋体" w:eastAsia="宋体" w:cs="宋体"/>
                </w:rPr>
                <w:t>三、编制过程</w:t>
              </w:r>
            </w:sdtContent>
          </w:sdt>
          <w:r>
            <w:rPr>
              <w:rFonts w:hint="eastAsia" w:ascii="宋体" w:hAnsi="宋体" w:eastAsia="宋体" w:cs="宋体"/>
            </w:rPr>
            <w:tab/>
          </w:r>
          <w:r>
            <w:rPr>
              <w:rFonts w:hint="eastAsia" w:ascii="宋体" w:hAnsi="宋体" w:eastAsia="宋体" w:cs="宋体"/>
            </w:rPr>
            <w:t>3</w:t>
          </w:r>
          <w:r>
            <w:rPr>
              <w:rFonts w:hint="eastAsia" w:ascii="宋体" w:hAnsi="宋体" w:eastAsia="宋体" w:cs="宋体"/>
            </w:rPr>
            <w:fldChar w:fldCharType="end"/>
          </w:r>
        </w:p>
        <w:p w14:paraId="1DCA79A2">
          <w:pPr>
            <w:pStyle w:val="23"/>
            <w:tabs>
              <w:tab w:val="right" w:leader="dot" w:pos="8306"/>
            </w:tabs>
            <w:spacing w:line="360" w:lineRule="auto"/>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_Toc24993 </w:instrText>
          </w:r>
          <w:r>
            <w:rPr>
              <w:rFonts w:hint="eastAsia" w:ascii="宋体" w:hAnsi="宋体" w:eastAsia="宋体" w:cs="宋体"/>
            </w:rPr>
            <w:fldChar w:fldCharType="separate"/>
          </w:r>
          <w:sdt>
            <w:sdtPr>
              <w:rPr>
                <w:rFonts w:hint="eastAsia" w:ascii="宋体" w:hAnsi="宋体" w:eastAsia="宋体" w:cs="宋体"/>
                <w:kern w:val="2"/>
                <w:sz w:val="21"/>
                <w:szCs w:val="24"/>
                <w:lang w:val="en-US" w:eastAsia="zh-CN" w:bidi="ar-SA"/>
              </w:rPr>
              <w:id w:val="147468512"/>
              <w:placeholder>
                <w:docPart w:val="{70f49175-827b-41de-a1f9-663d84dc7474}"/>
              </w:placeholder>
            </w:sdtPr>
            <w:sdtEndPr>
              <w:rPr>
                <w:rFonts w:hint="eastAsia" w:ascii="宋体" w:hAnsi="宋体" w:eastAsia="宋体" w:cs="宋体"/>
                <w:kern w:val="2"/>
                <w:sz w:val="21"/>
                <w:szCs w:val="24"/>
                <w:lang w:val="en-US" w:eastAsia="zh-CN" w:bidi="ar-SA"/>
              </w:rPr>
            </w:sdtEndPr>
            <w:sdtContent>
              <w:r>
                <w:rPr>
                  <w:rFonts w:hint="eastAsia" w:ascii="宋体" w:hAnsi="宋体" w:eastAsia="宋体" w:cs="宋体"/>
                </w:rPr>
                <w:t>四、主要内容技术指标确立</w:t>
              </w:r>
            </w:sdtContent>
          </w:sdt>
          <w:r>
            <w:rPr>
              <w:rFonts w:hint="eastAsia" w:ascii="宋体" w:hAnsi="宋体" w:eastAsia="宋体" w:cs="宋体"/>
            </w:rPr>
            <w:tab/>
          </w:r>
          <w:r>
            <w:rPr>
              <w:rFonts w:hint="eastAsia" w:ascii="宋体" w:hAnsi="宋体" w:eastAsia="宋体" w:cs="宋体"/>
            </w:rPr>
            <w:t>5</w:t>
          </w:r>
          <w:r>
            <w:rPr>
              <w:rFonts w:hint="eastAsia" w:ascii="宋体" w:hAnsi="宋体" w:eastAsia="宋体" w:cs="宋体"/>
            </w:rPr>
            <w:fldChar w:fldCharType="end"/>
          </w:r>
        </w:p>
        <w:p w14:paraId="6BD79FA6">
          <w:pPr>
            <w:pStyle w:val="23"/>
            <w:tabs>
              <w:tab w:val="right" w:leader="dot" w:pos="8306"/>
            </w:tabs>
            <w:spacing w:line="360" w:lineRule="auto"/>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_Toc25481 </w:instrText>
          </w:r>
          <w:r>
            <w:rPr>
              <w:rFonts w:hint="eastAsia" w:ascii="宋体" w:hAnsi="宋体" w:eastAsia="宋体" w:cs="宋体"/>
            </w:rPr>
            <w:fldChar w:fldCharType="separate"/>
          </w:r>
          <w:sdt>
            <w:sdtPr>
              <w:rPr>
                <w:rFonts w:hint="eastAsia" w:ascii="宋体" w:hAnsi="宋体" w:eastAsia="宋体" w:cs="宋体"/>
                <w:kern w:val="2"/>
                <w:sz w:val="21"/>
                <w:szCs w:val="24"/>
                <w:lang w:val="en-US" w:eastAsia="zh-CN" w:bidi="ar-SA"/>
              </w:rPr>
              <w:id w:val="147471845"/>
              <w:placeholder>
                <w:docPart w:val="{3c071518-deed-44cc-8e49-23908fe9d513}"/>
              </w:placeholder>
            </w:sdtPr>
            <w:sdtEndPr>
              <w:rPr>
                <w:rFonts w:hint="eastAsia" w:ascii="宋体" w:hAnsi="宋体" w:eastAsia="宋体" w:cs="宋体"/>
                <w:kern w:val="2"/>
                <w:sz w:val="21"/>
                <w:szCs w:val="24"/>
                <w:lang w:val="en-US" w:eastAsia="zh-CN" w:bidi="ar-SA"/>
              </w:rPr>
            </w:sdtEndPr>
            <w:sdtContent>
              <w:r>
                <w:rPr>
                  <w:rFonts w:hint="eastAsia" w:ascii="宋体" w:hAnsi="宋体" w:eastAsia="宋体" w:cs="宋体"/>
                </w:rPr>
                <w:t>五、与相关法律法规和国家标准的关系</w:t>
              </w:r>
            </w:sdtContent>
          </w:sdt>
          <w:r>
            <w:rPr>
              <w:rFonts w:hint="eastAsia" w:ascii="宋体" w:hAnsi="宋体" w:eastAsia="宋体" w:cs="宋体"/>
            </w:rPr>
            <w:tab/>
          </w:r>
          <w:r>
            <w:rPr>
              <w:rFonts w:hint="eastAsia" w:ascii="宋体" w:hAnsi="宋体" w:eastAsia="宋体" w:cs="宋体"/>
            </w:rPr>
            <w:t>6</w:t>
          </w:r>
          <w:r>
            <w:rPr>
              <w:rFonts w:hint="eastAsia" w:ascii="宋体" w:hAnsi="宋体" w:eastAsia="宋体" w:cs="宋体"/>
            </w:rPr>
            <w:fldChar w:fldCharType="end"/>
          </w:r>
        </w:p>
        <w:p w14:paraId="0A7A817A">
          <w:pPr>
            <w:pStyle w:val="23"/>
            <w:tabs>
              <w:tab w:val="right" w:leader="dot" w:pos="8306"/>
            </w:tabs>
            <w:spacing w:line="360" w:lineRule="auto"/>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_Toc12791 </w:instrText>
          </w:r>
          <w:r>
            <w:rPr>
              <w:rFonts w:hint="eastAsia" w:ascii="宋体" w:hAnsi="宋体" w:eastAsia="宋体" w:cs="宋体"/>
            </w:rPr>
            <w:fldChar w:fldCharType="separate"/>
          </w:r>
          <w:sdt>
            <w:sdtPr>
              <w:rPr>
                <w:rFonts w:hint="eastAsia" w:ascii="宋体" w:hAnsi="宋体" w:eastAsia="宋体" w:cs="宋体"/>
                <w:kern w:val="2"/>
                <w:sz w:val="21"/>
                <w:szCs w:val="24"/>
                <w:lang w:val="en-US" w:eastAsia="zh-CN" w:bidi="ar-SA"/>
              </w:rPr>
              <w:id w:val="147478394"/>
              <w:placeholder>
                <w:docPart w:val="{0d8ddb0e-b91e-4574-a9da-648acabc7431}"/>
              </w:placeholder>
            </w:sdtPr>
            <w:sdtEndPr>
              <w:rPr>
                <w:rFonts w:hint="eastAsia" w:ascii="宋体" w:hAnsi="宋体" w:eastAsia="宋体" w:cs="宋体"/>
                <w:kern w:val="2"/>
                <w:sz w:val="21"/>
                <w:szCs w:val="24"/>
                <w:lang w:val="en-US" w:eastAsia="zh-CN" w:bidi="ar-SA"/>
              </w:rPr>
            </w:sdtEndPr>
            <w:sdtContent>
              <w:r>
                <w:rPr>
                  <w:rFonts w:hint="eastAsia" w:ascii="宋体" w:hAnsi="宋体" w:eastAsia="宋体" w:cs="宋体"/>
                </w:rPr>
                <w:t>六、重大分歧意见的处理过程和依据</w:t>
              </w:r>
            </w:sdtContent>
          </w:sdt>
          <w:r>
            <w:rPr>
              <w:rFonts w:hint="eastAsia" w:ascii="宋体" w:hAnsi="宋体" w:eastAsia="宋体" w:cs="宋体"/>
            </w:rPr>
            <w:tab/>
          </w:r>
          <w:r>
            <w:rPr>
              <w:rFonts w:hint="eastAsia" w:ascii="宋体" w:hAnsi="宋体" w:eastAsia="宋体" w:cs="宋体"/>
            </w:rPr>
            <w:t>7</w:t>
          </w:r>
          <w:r>
            <w:rPr>
              <w:rFonts w:hint="eastAsia" w:ascii="宋体" w:hAnsi="宋体" w:eastAsia="宋体" w:cs="宋体"/>
            </w:rPr>
            <w:fldChar w:fldCharType="end"/>
          </w:r>
        </w:p>
        <w:p w14:paraId="39FF0C53">
          <w:pPr>
            <w:pStyle w:val="23"/>
            <w:tabs>
              <w:tab w:val="right" w:leader="dot" w:pos="8306"/>
            </w:tabs>
            <w:spacing w:line="360" w:lineRule="auto"/>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_Toc6442 </w:instrText>
          </w:r>
          <w:r>
            <w:rPr>
              <w:rFonts w:hint="eastAsia" w:ascii="宋体" w:hAnsi="宋体" w:eastAsia="宋体" w:cs="宋体"/>
            </w:rPr>
            <w:fldChar w:fldCharType="separate"/>
          </w:r>
          <w:sdt>
            <w:sdtPr>
              <w:rPr>
                <w:rFonts w:hint="eastAsia" w:ascii="宋体" w:hAnsi="宋体" w:eastAsia="宋体" w:cs="宋体"/>
                <w:kern w:val="2"/>
                <w:sz w:val="21"/>
                <w:szCs w:val="24"/>
                <w:lang w:val="en-US" w:eastAsia="zh-CN" w:bidi="ar-SA"/>
              </w:rPr>
              <w:id w:val="147461987"/>
              <w:placeholder>
                <w:docPart w:val="{051ec34c-4a9a-4c56-bc00-7d3920940aea}"/>
              </w:placeholder>
            </w:sdtPr>
            <w:sdtEndPr>
              <w:rPr>
                <w:rFonts w:hint="eastAsia" w:ascii="宋体" w:hAnsi="宋体" w:eastAsia="宋体" w:cs="宋体"/>
                <w:kern w:val="2"/>
                <w:sz w:val="21"/>
                <w:szCs w:val="24"/>
                <w:lang w:val="en-US" w:eastAsia="zh-CN" w:bidi="ar-SA"/>
              </w:rPr>
            </w:sdtEndPr>
            <w:sdtContent>
              <w:r>
                <w:rPr>
                  <w:rFonts w:hint="eastAsia" w:ascii="宋体" w:hAnsi="宋体" w:eastAsia="宋体" w:cs="宋体"/>
                </w:rPr>
                <w:t>七、实施推广建议</w:t>
              </w:r>
            </w:sdtContent>
          </w:sdt>
          <w:r>
            <w:rPr>
              <w:rFonts w:hint="eastAsia" w:ascii="宋体" w:hAnsi="宋体" w:eastAsia="宋体" w:cs="宋体"/>
            </w:rPr>
            <w:tab/>
          </w:r>
          <w:r>
            <w:rPr>
              <w:rFonts w:hint="eastAsia" w:ascii="宋体" w:hAnsi="宋体" w:eastAsia="宋体" w:cs="宋体"/>
            </w:rPr>
            <w:t>7</w:t>
          </w:r>
          <w:r>
            <w:rPr>
              <w:rFonts w:hint="eastAsia" w:ascii="宋体" w:hAnsi="宋体" w:eastAsia="宋体" w:cs="宋体"/>
            </w:rPr>
            <w:fldChar w:fldCharType="end"/>
          </w:r>
        </w:p>
        <w:p w14:paraId="6734A06E">
          <w:pPr>
            <w:pStyle w:val="23"/>
            <w:tabs>
              <w:tab w:val="right" w:leader="dot" w:pos="8306"/>
            </w:tabs>
            <w:spacing w:line="360" w:lineRule="auto"/>
          </w:pPr>
          <w:r>
            <w:rPr>
              <w:rFonts w:hint="eastAsia" w:ascii="宋体" w:hAnsi="宋体" w:eastAsia="宋体" w:cs="宋体"/>
            </w:rPr>
            <w:fldChar w:fldCharType="begin"/>
          </w:r>
          <w:r>
            <w:rPr>
              <w:rFonts w:hint="eastAsia" w:ascii="宋体" w:hAnsi="宋体" w:eastAsia="宋体" w:cs="宋体"/>
            </w:rPr>
            <w:instrText xml:space="preserve"> HYPERLINK \l _Toc16208 </w:instrText>
          </w:r>
          <w:r>
            <w:rPr>
              <w:rFonts w:hint="eastAsia" w:ascii="宋体" w:hAnsi="宋体" w:eastAsia="宋体" w:cs="宋体"/>
            </w:rPr>
            <w:fldChar w:fldCharType="separate"/>
          </w:r>
          <w:sdt>
            <w:sdtPr>
              <w:rPr>
                <w:rFonts w:hint="eastAsia" w:ascii="宋体" w:hAnsi="宋体" w:eastAsia="宋体" w:cs="宋体"/>
                <w:kern w:val="2"/>
                <w:sz w:val="21"/>
                <w:szCs w:val="24"/>
                <w:lang w:val="en-US" w:eastAsia="zh-CN" w:bidi="ar-SA"/>
              </w:rPr>
              <w:id w:val="147457534"/>
              <w:placeholder>
                <w:docPart w:val="{18b0e598-2b94-486d-b763-ffb5286d2b25}"/>
              </w:placeholder>
            </w:sdtPr>
            <w:sdtEndPr>
              <w:rPr>
                <w:rFonts w:hint="eastAsia" w:ascii="宋体" w:hAnsi="宋体" w:eastAsia="宋体" w:cs="宋体"/>
                <w:kern w:val="2"/>
                <w:sz w:val="21"/>
                <w:szCs w:val="24"/>
                <w:lang w:val="en-US" w:eastAsia="zh-CN" w:bidi="ar-SA"/>
              </w:rPr>
            </w:sdtEndPr>
            <w:sdtContent>
              <w:r>
                <w:rPr>
                  <w:rFonts w:hint="eastAsia" w:ascii="宋体" w:hAnsi="宋体" w:eastAsia="宋体" w:cs="宋体"/>
                </w:rPr>
                <w:t>八、起草单位和起草人</w:t>
              </w:r>
            </w:sdtContent>
          </w:sdt>
          <w:r>
            <w:rPr>
              <w:rFonts w:hint="eastAsia" w:ascii="宋体" w:hAnsi="宋体" w:eastAsia="宋体" w:cs="宋体"/>
            </w:rPr>
            <w:tab/>
          </w:r>
          <w:r>
            <w:rPr>
              <w:rFonts w:hint="eastAsia" w:ascii="宋体" w:hAnsi="宋体" w:eastAsia="宋体" w:cs="宋体"/>
            </w:rPr>
            <w:t>8</w:t>
          </w:r>
          <w:r>
            <w:rPr>
              <w:rFonts w:hint="eastAsia" w:ascii="宋体" w:hAnsi="宋体" w:eastAsia="宋体" w:cs="宋体"/>
            </w:rPr>
            <w:fldChar w:fldCharType="end"/>
          </w:r>
        </w:p>
        <w:p w14:paraId="6CF4165F">
          <w:pPr>
            <w:jc w:val="center"/>
            <w:rPr>
              <w:rFonts w:ascii="宋体" w:hAnsi="宋体" w:eastAsia="宋体"/>
              <w:sz w:val="21"/>
            </w:rPr>
          </w:pPr>
        </w:p>
      </w:sdtContent>
    </w:sdt>
    <w:p w14:paraId="6F4B1726">
      <w:pPr>
        <w:pStyle w:val="22"/>
        <w:spacing w:before="156" w:after="156" w:line="240" w:lineRule="auto"/>
        <w:jc w:val="center"/>
        <w:rPr>
          <w:rFonts w:hint="eastAsia" w:ascii="宋体" w:hAnsi="宋体" w:eastAsia="宋体" w:cs="宋体"/>
          <w:kern w:val="0"/>
          <w:sz w:val="30"/>
          <w:szCs w:val="30"/>
        </w:rPr>
        <w:sectPr>
          <w:pgSz w:w="11906" w:h="16838"/>
          <w:pgMar w:top="1440" w:right="1800" w:bottom="1440" w:left="1800" w:header="851" w:footer="992" w:gutter="0"/>
          <w:cols w:space="425" w:num="1"/>
          <w:docGrid w:type="lines" w:linePitch="312" w:charSpace="0"/>
        </w:sectPr>
      </w:pPr>
    </w:p>
    <w:p w14:paraId="0D9A4A71">
      <w:pPr>
        <w:pStyle w:val="22"/>
        <w:spacing w:before="156" w:after="156" w:line="240" w:lineRule="auto"/>
        <w:jc w:val="center"/>
        <w:rPr>
          <w:rFonts w:hint="default" w:ascii="Times New Roman" w:hAnsi="Times New Roman" w:cs="Times New Roman"/>
          <w:kern w:val="0"/>
          <w:sz w:val="36"/>
          <w:szCs w:val="36"/>
        </w:rPr>
      </w:pPr>
      <w:bookmarkStart w:id="0" w:name="_Toc9696"/>
      <w:bookmarkStart w:id="1" w:name="_Toc12066"/>
      <w:bookmarkStart w:id="2" w:name="_Toc1864_WPSOffice_Level1"/>
      <w:bookmarkStart w:id="3" w:name="_Toc10480_WPSOffice_Level1"/>
      <w:bookmarkStart w:id="4" w:name="_Toc20063_WPSOffice_Level1"/>
      <w:r>
        <w:rPr>
          <w:rFonts w:hint="default" w:ascii="Times New Roman" w:hAnsi="Times New Roman" w:cs="Times New Roman"/>
          <w:kern w:val="0"/>
          <w:sz w:val="36"/>
          <w:szCs w:val="36"/>
        </w:rPr>
        <w:t>江苏省地方标准《</w:t>
      </w:r>
      <w:r>
        <w:rPr>
          <w:rFonts w:hint="default" w:ascii="Times New Roman" w:hAnsi="Times New Roman" w:cs="Times New Roman"/>
          <w:kern w:val="0"/>
          <w:sz w:val="36"/>
          <w:szCs w:val="36"/>
          <w:lang w:val="en-US" w:eastAsia="zh-CN"/>
        </w:rPr>
        <w:t>电动自行车锂离子电池充换电柜安全技术要求</w:t>
      </w:r>
      <w:r>
        <w:rPr>
          <w:rFonts w:hint="default" w:ascii="Times New Roman" w:hAnsi="Times New Roman" w:cs="Times New Roman"/>
          <w:kern w:val="0"/>
          <w:sz w:val="36"/>
          <w:szCs w:val="36"/>
        </w:rPr>
        <w:t>》编制说明</w:t>
      </w:r>
      <w:bookmarkEnd w:id="0"/>
      <w:bookmarkEnd w:id="1"/>
      <w:bookmarkEnd w:id="2"/>
      <w:bookmarkEnd w:id="3"/>
      <w:bookmarkEnd w:id="4"/>
    </w:p>
    <w:p w14:paraId="39B74776">
      <w:pPr>
        <w:adjustRightInd/>
        <w:spacing w:before="0" w:beforeLines="-2147483648" w:after="0" w:afterLines="-2147483648" w:line="560" w:lineRule="exact"/>
        <w:ind w:firstLine="640" w:firstLineChars="200"/>
        <w:contextualSpacing/>
        <w:rPr>
          <w:rFonts w:hint="default" w:ascii="Times New Roman" w:hAnsi="Times New Roman" w:eastAsia="黑体" w:cs="Times New Roman"/>
          <w:b w:val="0"/>
          <w:bCs w:val="0"/>
          <w:color w:val="auto"/>
          <w:sz w:val="32"/>
          <w:szCs w:val="32"/>
          <w:lang w:val="en-US" w:eastAsia="zh-CN"/>
        </w:rPr>
      </w:pPr>
      <w:bookmarkStart w:id="5" w:name="_Toc27821"/>
      <w:bookmarkStart w:id="6" w:name="_Toc9815"/>
      <w:bookmarkStart w:id="7" w:name="_Toc2784_WPSOffice_Level1"/>
      <w:r>
        <w:rPr>
          <w:rFonts w:hint="default" w:ascii="Times New Roman" w:hAnsi="Times New Roman" w:eastAsia="黑体" w:cs="Times New Roman"/>
          <w:b w:val="0"/>
          <w:bCs w:val="0"/>
          <w:color w:val="auto"/>
          <w:sz w:val="32"/>
          <w:szCs w:val="32"/>
          <w:lang w:val="en-US" w:eastAsia="zh-CN"/>
        </w:rPr>
        <w:t>一、目的意义</w:t>
      </w:r>
      <w:bookmarkEnd w:id="5"/>
      <w:bookmarkEnd w:id="6"/>
      <w:bookmarkEnd w:id="7"/>
    </w:p>
    <w:p w14:paraId="0967F931">
      <w:pPr>
        <w:keepNext w:val="0"/>
        <w:keepLines w:val="0"/>
        <w:widowControl/>
        <w:suppressLineNumbers w:val="0"/>
        <w:spacing w:before="0" w:beforeAutospacing="0" w:after="0" w:afterAutospacing="0"/>
        <w:ind w:left="0" w:right="0" w:firstLine="560" w:firstLineChars="200"/>
        <w:rPr>
          <w:rFonts w:ascii="Times New Roman" w:hAnsi="Times New Roman" w:cs="Times New Roman"/>
          <w:kern w:val="0"/>
          <w:sz w:val="28"/>
          <w:szCs w:val="28"/>
          <w:lang w:bidi="ar"/>
        </w:rPr>
      </w:pPr>
      <w:r>
        <w:rPr>
          <w:rFonts w:ascii="Times New Roman" w:hAnsi="Times New Roman" w:cs="Times New Roman"/>
          <w:kern w:val="0"/>
          <w:sz w:val="28"/>
          <w:szCs w:val="28"/>
          <w:lang w:bidi="ar"/>
        </w:rPr>
        <w:t>电动自行车作为“最后一公里”的便捷交通工具，受到了广泛欢迎。然而，其充电过程中存在的火灾隐患不容忽视。根据国家消防救援局的数据，2023年全国共接报电动自行车火灾2.1万起，同比上升17.4%。其中80%的火灾发生在充电时，尤其是夜间充电过程中；90%的电动车起火致人伤亡案例则发生在门厅、过道及楼梯间等区域。随着新国标的实施，电动自行车正朝着智能化、轻便化和锂电化的方向发展，但锂离子电池相比铅酸电池更容易发生热失控，增加了蓄电池火灾或爆炸的风险。</w:t>
      </w:r>
    </w:p>
    <w:p w14:paraId="5552E5F3">
      <w:pPr>
        <w:keepNext w:val="0"/>
        <w:keepLines w:val="0"/>
        <w:widowControl/>
        <w:suppressLineNumbers w:val="0"/>
        <w:spacing w:before="0" w:beforeAutospacing="0" w:after="0" w:afterAutospacing="0"/>
        <w:ind w:left="0" w:right="0" w:firstLine="560" w:firstLineChars="200"/>
        <w:rPr>
          <w:rFonts w:ascii="Times New Roman" w:hAnsi="Times New Roman" w:cs="Times New Roman"/>
          <w:kern w:val="0"/>
          <w:sz w:val="28"/>
          <w:szCs w:val="28"/>
          <w:lang w:bidi="ar"/>
        </w:rPr>
      </w:pPr>
      <w:r>
        <w:rPr>
          <w:rFonts w:ascii="Times New Roman" w:hAnsi="Times New Roman" w:cs="Times New Roman"/>
          <w:kern w:val="0"/>
          <w:sz w:val="28"/>
          <w:szCs w:val="28"/>
          <w:lang w:bidi="ar"/>
        </w:rPr>
        <w:t>为了解决这些问题，电动自行车充换电柜应运而生，并迅速普及于商圈、小区、工业园区等多个热点区域以及交通枢纽处。这种新型设施不仅能够满足快递、外卖等行业对高频使用的需求，还能为用户提供自助换电服务，有效缓解了传统充电方式带来的安全隐患和续航问题。江苏省作为全国重要的电动自行车生产基地之一，拥有众多锂离子电池换电柜制造商</w:t>
      </w:r>
      <w:r>
        <w:rPr>
          <w:rFonts w:hint="default" w:ascii="Times New Roman" w:hAnsi="Times New Roman" w:cs="Times New Roman"/>
          <w:kern w:val="0"/>
          <w:sz w:val="28"/>
          <w:szCs w:val="28"/>
          <w:lang w:val="en-US" w:eastAsia="zh-CN" w:bidi="ar"/>
        </w:rPr>
        <w:t>和运维商</w:t>
      </w:r>
      <w:r>
        <w:rPr>
          <w:rFonts w:hint="default" w:ascii="Times New Roman" w:hAnsi="Times New Roman" w:cs="Times New Roman"/>
          <w:kern w:val="0"/>
          <w:sz w:val="28"/>
          <w:szCs w:val="28"/>
          <w:lang w:eastAsia="zh-CN" w:bidi="ar"/>
        </w:rPr>
        <w:t>。</w:t>
      </w:r>
      <w:r>
        <w:rPr>
          <w:rFonts w:ascii="Times New Roman" w:hAnsi="Times New Roman" w:cs="Times New Roman"/>
          <w:kern w:val="0"/>
          <w:sz w:val="28"/>
          <w:szCs w:val="28"/>
          <w:lang w:bidi="ar"/>
        </w:rPr>
        <w:t>不过，当前电动自行车换电产业仍处于初级阶段，</w:t>
      </w:r>
      <w:r>
        <w:rPr>
          <w:rFonts w:hint="default" w:ascii="Times New Roman" w:hAnsi="Times New Roman" w:cs="Times New Roman"/>
          <w:kern w:val="0"/>
          <w:sz w:val="28"/>
          <w:szCs w:val="28"/>
          <w:lang w:val="en-US" w:eastAsia="zh-CN" w:bidi="ar"/>
        </w:rPr>
        <w:t>充换电柜</w:t>
      </w:r>
      <w:r>
        <w:rPr>
          <w:rFonts w:ascii="Times New Roman" w:hAnsi="Times New Roman" w:cs="Times New Roman"/>
          <w:kern w:val="0"/>
          <w:sz w:val="28"/>
          <w:szCs w:val="28"/>
          <w:lang w:bidi="ar"/>
        </w:rPr>
        <w:t>市场门槛较低</w:t>
      </w:r>
      <w:r>
        <w:rPr>
          <w:rFonts w:hint="default" w:ascii="Times New Roman" w:hAnsi="Times New Roman" w:cs="Times New Roman"/>
          <w:kern w:val="0"/>
          <w:sz w:val="28"/>
          <w:szCs w:val="28"/>
          <w:lang w:eastAsia="zh-CN" w:bidi="ar"/>
        </w:rPr>
        <w:t>，</w:t>
      </w:r>
      <w:r>
        <w:rPr>
          <w:rFonts w:hint="default" w:ascii="Times New Roman" w:hAnsi="Times New Roman" w:cs="Times New Roman"/>
          <w:kern w:val="0"/>
          <w:sz w:val="28"/>
          <w:szCs w:val="28"/>
          <w:lang w:val="en-US" w:eastAsia="zh-CN" w:bidi="ar"/>
        </w:rPr>
        <w:t>充换电柜的本质安全亟待</w:t>
      </w:r>
      <w:r>
        <w:rPr>
          <w:rFonts w:hint="eastAsia" w:ascii="Times New Roman" w:hAnsi="Times New Roman" w:cs="Times New Roman"/>
          <w:kern w:val="0"/>
          <w:sz w:val="28"/>
          <w:szCs w:val="28"/>
          <w:lang w:val="en-US" w:eastAsia="zh-CN" w:bidi="ar"/>
        </w:rPr>
        <w:t>进一步提升</w:t>
      </w:r>
      <w:r>
        <w:rPr>
          <w:rFonts w:hint="default" w:ascii="Times New Roman" w:hAnsi="Times New Roman" w:cs="Times New Roman"/>
          <w:kern w:val="0"/>
          <w:sz w:val="28"/>
          <w:szCs w:val="28"/>
          <w:lang w:eastAsia="zh-CN" w:bidi="ar"/>
        </w:rPr>
        <w:t>，</w:t>
      </w:r>
      <w:r>
        <w:rPr>
          <w:rFonts w:ascii="Times New Roman" w:hAnsi="Times New Roman" w:cs="Times New Roman"/>
          <w:kern w:val="0"/>
          <w:sz w:val="28"/>
          <w:szCs w:val="28"/>
          <w:lang w:bidi="ar"/>
        </w:rPr>
        <w:t>因此，制定一套适用于本省实际情况的技术标准与规范，具有重要意义。</w:t>
      </w:r>
    </w:p>
    <w:p w14:paraId="2D29B1EE">
      <w:pPr>
        <w:widowControl/>
        <w:spacing w:line="240" w:lineRule="auto"/>
        <w:ind w:firstLine="560" w:firstLineChars="200"/>
        <w:jc w:val="left"/>
        <w:rPr>
          <w:rFonts w:hint="eastAsia" w:ascii="Times New Roman" w:hAnsi="Times New Roman" w:cs="Times New Roman"/>
          <w:kern w:val="0"/>
          <w:sz w:val="28"/>
          <w:szCs w:val="28"/>
          <w:lang w:val="en-US" w:eastAsia="zh-CN" w:bidi="ar"/>
        </w:rPr>
      </w:pPr>
      <w:r>
        <w:rPr>
          <w:rFonts w:hint="eastAsia" w:ascii="Times New Roman" w:hAnsi="Times New Roman" w:cs="Times New Roman"/>
          <w:kern w:val="0"/>
          <w:sz w:val="28"/>
          <w:szCs w:val="28"/>
          <w:lang w:val="en-US" w:eastAsia="zh-CN" w:bidi="ar"/>
        </w:rPr>
        <w:t>因此，由</w:t>
      </w:r>
      <w:r>
        <w:rPr>
          <w:rFonts w:hint="default" w:ascii="Times New Roman" w:hAnsi="Times New Roman" w:cs="Times New Roman"/>
          <w:kern w:val="0"/>
          <w:sz w:val="28"/>
          <w:szCs w:val="28"/>
          <w:lang w:val="en-US" w:eastAsia="zh-CN" w:bidi="ar"/>
        </w:rPr>
        <w:t>江苏省安全生产科学研究院牵头，组织电气</w:t>
      </w:r>
      <w:r>
        <w:rPr>
          <w:rFonts w:hint="eastAsia" w:ascii="Times New Roman" w:hAnsi="Times New Roman" w:cs="Times New Roman"/>
          <w:kern w:val="0"/>
          <w:sz w:val="28"/>
          <w:szCs w:val="28"/>
          <w:lang w:val="en-US" w:eastAsia="zh-CN" w:bidi="ar"/>
        </w:rPr>
        <w:t>、</w:t>
      </w:r>
      <w:r>
        <w:rPr>
          <w:rFonts w:hint="default" w:ascii="Times New Roman" w:hAnsi="Times New Roman" w:cs="Times New Roman"/>
          <w:kern w:val="0"/>
          <w:sz w:val="28"/>
          <w:szCs w:val="28"/>
          <w:lang w:val="en-US" w:eastAsia="zh-CN" w:bidi="ar"/>
        </w:rPr>
        <w:t>消防</w:t>
      </w:r>
      <w:r>
        <w:rPr>
          <w:rFonts w:hint="eastAsia" w:ascii="Times New Roman" w:hAnsi="Times New Roman" w:cs="Times New Roman"/>
          <w:kern w:val="0"/>
          <w:sz w:val="28"/>
          <w:szCs w:val="28"/>
          <w:lang w:val="en-US" w:eastAsia="zh-CN" w:bidi="ar"/>
        </w:rPr>
        <w:t>、检验检测领域及锂离子电池、充换电柜等生产企业</w:t>
      </w:r>
      <w:r>
        <w:rPr>
          <w:rFonts w:hint="default" w:ascii="Times New Roman" w:hAnsi="Times New Roman" w:cs="Times New Roman"/>
          <w:kern w:val="0"/>
          <w:sz w:val="28"/>
          <w:szCs w:val="28"/>
          <w:lang w:val="en-US" w:eastAsia="zh-CN" w:bidi="ar"/>
        </w:rPr>
        <w:t>的专家组成项目组，针对产品和行业的相关情况，通过研究探讨制定电动自行车锂离子电池充换电柜安全技术要求，以规范充</w:t>
      </w:r>
      <w:r>
        <w:rPr>
          <w:rFonts w:hint="eastAsia" w:ascii="Times New Roman" w:hAnsi="Times New Roman" w:cs="Times New Roman"/>
          <w:kern w:val="0"/>
          <w:sz w:val="28"/>
          <w:szCs w:val="28"/>
          <w:lang w:val="en-US" w:eastAsia="zh-CN" w:bidi="ar"/>
        </w:rPr>
        <w:t>换</w:t>
      </w:r>
      <w:r>
        <w:rPr>
          <w:rFonts w:hint="default" w:ascii="Times New Roman" w:hAnsi="Times New Roman" w:cs="Times New Roman"/>
          <w:kern w:val="0"/>
          <w:sz w:val="28"/>
          <w:szCs w:val="28"/>
          <w:lang w:val="en-US" w:eastAsia="zh-CN" w:bidi="ar"/>
        </w:rPr>
        <w:t>电柜</w:t>
      </w:r>
      <w:r>
        <w:rPr>
          <w:rFonts w:hint="eastAsia" w:ascii="Times New Roman" w:hAnsi="Times New Roman" w:cs="Times New Roman"/>
          <w:kern w:val="0"/>
          <w:sz w:val="28"/>
          <w:szCs w:val="28"/>
          <w:lang w:val="en-US" w:eastAsia="zh-CN" w:bidi="ar"/>
        </w:rPr>
        <w:t>的柜体安全</w:t>
      </w:r>
      <w:r>
        <w:rPr>
          <w:rFonts w:hint="default" w:ascii="Times New Roman" w:hAnsi="Times New Roman" w:cs="Times New Roman"/>
          <w:kern w:val="0"/>
          <w:sz w:val="28"/>
          <w:szCs w:val="28"/>
          <w:lang w:val="en-US" w:eastAsia="zh-CN" w:bidi="ar"/>
        </w:rPr>
        <w:t>、</w:t>
      </w:r>
      <w:r>
        <w:rPr>
          <w:rFonts w:hint="eastAsia" w:ascii="Times New Roman" w:hAnsi="Times New Roman" w:cs="Times New Roman"/>
          <w:kern w:val="0"/>
          <w:sz w:val="28"/>
          <w:szCs w:val="28"/>
          <w:lang w:val="en-US" w:eastAsia="zh-CN" w:bidi="ar"/>
        </w:rPr>
        <w:t>电气安全、防雷装置与接地、消防</w:t>
      </w:r>
      <w:r>
        <w:rPr>
          <w:rFonts w:hint="default" w:ascii="Times New Roman" w:hAnsi="Times New Roman" w:cs="Times New Roman"/>
          <w:kern w:val="0"/>
          <w:sz w:val="28"/>
          <w:szCs w:val="28"/>
          <w:lang w:val="en-US" w:eastAsia="zh-CN" w:bidi="ar"/>
        </w:rPr>
        <w:t>安全</w:t>
      </w:r>
      <w:r>
        <w:rPr>
          <w:rFonts w:hint="eastAsia" w:ascii="Times New Roman" w:hAnsi="Times New Roman" w:cs="Times New Roman"/>
          <w:kern w:val="0"/>
          <w:sz w:val="28"/>
          <w:szCs w:val="28"/>
          <w:lang w:val="en-US" w:eastAsia="zh-CN" w:bidi="ar"/>
        </w:rPr>
        <w:t>及操作与维护要求等相关内容</w:t>
      </w:r>
      <w:r>
        <w:rPr>
          <w:rFonts w:hint="default" w:ascii="Times New Roman" w:hAnsi="Times New Roman" w:cs="Times New Roman"/>
          <w:kern w:val="0"/>
          <w:sz w:val="28"/>
          <w:szCs w:val="28"/>
          <w:lang w:val="en-US" w:eastAsia="zh-CN" w:bidi="ar"/>
        </w:rPr>
        <w:t>。有效减少电动</w:t>
      </w:r>
      <w:r>
        <w:rPr>
          <w:rFonts w:hint="eastAsia" w:ascii="Times New Roman" w:hAnsi="Times New Roman" w:cs="Times New Roman"/>
          <w:kern w:val="0"/>
          <w:sz w:val="28"/>
          <w:szCs w:val="28"/>
          <w:lang w:val="en-US" w:eastAsia="zh-CN" w:bidi="ar"/>
        </w:rPr>
        <w:t>自行</w:t>
      </w:r>
      <w:r>
        <w:rPr>
          <w:rFonts w:hint="default" w:ascii="Times New Roman" w:hAnsi="Times New Roman" w:cs="Times New Roman"/>
          <w:kern w:val="0"/>
          <w:sz w:val="28"/>
          <w:szCs w:val="28"/>
          <w:lang w:val="en-US" w:eastAsia="zh-CN" w:bidi="ar"/>
        </w:rPr>
        <w:t>车</w:t>
      </w:r>
      <w:r>
        <w:rPr>
          <w:rFonts w:hint="eastAsia" w:ascii="Times New Roman" w:hAnsi="Times New Roman" w:cs="Times New Roman"/>
          <w:kern w:val="0"/>
          <w:sz w:val="28"/>
          <w:szCs w:val="28"/>
          <w:lang w:val="en-US" w:eastAsia="zh-CN" w:bidi="ar"/>
        </w:rPr>
        <w:t>锂离子</w:t>
      </w:r>
      <w:r>
        <w:rPr>
          <w:rFonts w:hint="default" w:ascii="Times New Roman" w:hAnsi="Times New Roman" w:cs="Times New Roman"/>
          <w:kern w:val="0"/>
          <w:sz w:val="28"/>
          <w:szCs w:val="28"/>
          <w:lang w:val="en-US" w:eastAsia="zh-CN" w:bidi="ar"/>
        </w:rPr>
        <w:t>电池充换电</w:t>
      </w:r>
      <w:r>
        <w:rPr>
          <w:rFonts w:hint="eastAsia" w:ascii="Times New Roman" w:hAnsi="Times New Roman" w:cs="Times New Roman"/>
          <w:kern w:val="0"/>
          <w:sz w:val="28"/>
          <w:szCs w:val="28"/>
          <w:lang w:val="en-US" w:eastAsia="zh-CN" w:bidi="ar"/>
        </w:rPr>
        <w:t>柜的安全隐患，</w:t>
      </w:r>
      <w:r>
        <w:rPr>
          <w:rFonts w:hint="default" w:ascii="Times New Roman" w:hAnsi="Times New Roman" w:cs="Times New Roman"/>
          <w:kern w:val="0"/>
          <w:sz w:val="28"/>
          <w:szCs w:val="28"/>
          <w:lang w:val="en-US" w:eastAsia="zh-CN" w:bidi="ar"/>
        </w:rPr>
        <w:t>促进行业健康发展</w:t>
      </w:r>
      <w:r>
        <w:rPr>
          <w:rFonts w:hint="eastAsia" w:ascii="Times New Roman" w:hAnsi="Times New Roman" w:cs="Times New Roman"/>
          <w:kern w:val="0"/>
          <w:sz w:val="28"/>
          <w:szCs w:val="28"/>
          <w:lang w:val="en-US" w:eastAsia="zh-CN" w:bidi="ar"/>
        </w:rPr>
        <w:t>，有力支撑安全监管。</w:t>
      </w:r>
    </w:p>
    <w:p w14:paraId="3E4636A0">
      <w:pPr>
        <w:keepNext w:val="0"/>
        <w:keepLines w:val="0"/>
        <w:pageBreakBefore w:val="0"/>
        <w:widowControl w:val="0"/>
        <w:kinsoku/>
        <w:wordWrap/>
        <w:topLinePunct w:val="0"/>
        <w:bidi w:val="0"/>
        <w:spacing w:line="560" w:lineRule="exact"/>
        <w:ind w:firstLine="640" w:firstLineChars="200"/>
        <w:contextualSpacing/>
        <w:textAlignment w:val="auto"/>
        <w:rPr>
          <w:rFonts w:hint="default" w:ascii="Times New Roman" w:hAnsi="Times New Roman" w:eastAsia="黑体" w:cs="Times New Roman"/>
          <w:color w:val="auto"/>
          <w:sz w:val="32"/>
          <w:szCs w:val="32"/>
          <w:lang w:val="en-US" w:eastAsia="zh-CN"/>
        </w:rPr>
      </w:pPr>
      <w:bookmarkStart w:id="8" w:name="_Toc22383_WPSOffice_Level1"/>
      <w:bookmarkStart w:id="9" w:name="_Toc6065"/>
      <w:bookmarkStart w:id="10" w:name="_Toc8302"/>
      <w:r>
        <w:rPr>
          <w:rFonts w:hint="default" w:ascii="Times New Roman" w:hAnsi="Times New Roman" w:eastAsia="黑体" w:cs="Times New Roman"/>
          <w:color w:val="auto"/>
          <w:sz w:val="32"/>
          <w:szCs w:val="32"/>
          <w:lang w:val="en-US" w:eastAsia="zh-CN"/>
        </w:rPr>
        <w:t>二、任务来源</w:t>
      </w:r>
      <w:bookmarkEnd w:id="8"/>
      <w:bookmarkEnd w:id="9"/>
      <w:bookmarkEnd w:id="10"/>
    </w:p>
    <w:p w14:paraId="644EA90E">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Times New Roman" w:hAnsi="Times New Roman" w:cs="Times New Roman" w:eastAsiaTheme="minorEastAsia"/>
          <w:sz w:val="28"/>
          <w:szCs w:val="28"/>
          <w:lang w:val="en-US" w:eastAsia="zh-CN"/>
        </w:rPr>
      </w:pPr>
      <w:r>
        <w:rPr>
          <w:rFonts w:hint="default" w:ascii="Times New Roman" w:hAnsi="Times New Roman" w:cs="Times New Roman" w:eastAsiaTheme="minorEastAsia"/>
          <w:sz w:val="28"/>
          <w:szCs w:val="28"/>
          <w:lang w:val="en-US" w:eastAsia="zh-CN"/>
        </w:rPr>
        <w:t>为贯彻落实《国家标准化发展纲要》，进一步健全我省高质量发展标准体系，省市场监管局组织开展了2023年度江苏省地方标准申报立项工作，经项目材料初审、专家论证、公示等，于2023年8月下达《江苏省市场监督管理局关于2023年度拟立项地方标准项目的公示》。本项目为2023年度江苏省地方标准制定项目计划中</w:t>
      </w:r>
      <w:r>
        <w:rPr>
          <w:rFonts w:hint="eastAsia" w:ascii="Times New Roman" w:hAnsi="Times New Roman" w:cs="Times New Roman"/>
          <w:sz w:val="28"/>
          <w:szCs w:val="28"/>
          <w:lang w:val="en-US" w:eastAsia="zh-CN"/>
        </w:rPr>
        <w:t>的</w:t>
      </w:r>
      <w:r>
        <w:rPr>
          <w:rFonts w:hint="default" w:ascii="Times New Roman" w:hAnsi="Times New Roman" w:cs="Times New Roman" w:eastAsiaTheme="minorEastAsia"/>
          <w:sz w:val="28"/>
          <w:szCs w:val="28"/>
          <w:lang w:val="en-US" w:eastAsia="zh-CN"/>
        </w:rPr>
        <w:t>第216项，标准名称为</w:t>
      </w:r>
      <w:r>
        <w:rPr>
          <w:rFonts w:hint="eastAsia" w:ascii="Times New Roman" w:hAnsi="Times New Roman" w:cs="Times New Roman" w:eastAsiaTheme="minorEastAsia"/>
          <w:sz w:val="28"/>
          <w:szCs w:val="28"/>
          <w:lang w:val="en-US" w:eastAsia="zh-CN"/>
        </w:rPr>
        <w:t>《</w:t>
      </w:r>
      <w:r>
        <w:rPr>
          <w:rFonts w:hint="default" w:ascii="Times New Roman" w:hAnsi="Times New Roman" w:cs="Times New Roman" w:eastAsiaTheme="minorEastAsia"/>
          <w:sz w:val="28"/>
          <w:szCs w:val="28"/>
          <w:lang w:val="en-US" w:eastAsia="zh-CN"/>
        </w:rPr>
        <w:t>电动自行车蓄电池充换电场（站）安全技术要求</w:t>
      </w:r>
      <w:r>
        <w:rPr>
          <w:rFonts w:hint="eastAsia" w:ascii="Times New Roman" w:hAnsi="Times New Roman" w:cs="Times New Roman" w:eastAsiaTheme="minorEastAsia"/>
          <w:sz w:val="28"/>
          <w:szCs w:val="28"/>
          <w:lang w:val="en-US" w:eastAsia="zh-CN"/>
        </w:rPr>
        <w:t>》。</w:t>
      </w:r>
    </w:p>
    <w:p w14:paraId="494B759D">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default" w:ascii="Times New Roman" w:hAnsi="Times New Roman" w:cs="Times New Roman" w:eastAsiaTheme="minorEastAsia"/>
          <w:sz w:val="28"/>
          <w:szCs w:val="28"/>
          <w:lang w:val="en-US" w:eastAsia="zh-CN"/>
        </w:rPr>
      </w:pPr>
      <w:r>
        <w:rPr>
          <w:rFonts w:hint="default" w:ascii="Times New Roman" w:hAnsi="Times New Roman" w:cs="Times New Roman" w:eastAsiaTheme="minorEastAsia"/>
          <w:sz w:val="28"/>
          <w:szCs w:val="28"/>
          <w:lang w:val="en-US" w:eastAsia="zh-CN"/>
        </w:rPr>
        <w:t>2023年</w:t>
      </w:r>
      <w:r>
        <w:rPr>
          <w:rFonts w:hint="eastAsia" w:ascii="Times New Roman" w:hAnsi="Times New Roman" w:cs="Times New Roman" w:eastAsiaTheme="minorEastAsia"/>
          <w:sz w:val="28"/>
          <w:szCs w:val="28"/>
          <w:lang w:val="en-US" w:eastAsia="zh-CN"/>
        </w:rPr>
        <w:t>4月</w:t>
      </w:r>
      <w:r>
        <w:rPr>
          <w:rFonts w:hint="default" w:ascii="Times New Roman" w:hAnsi="Times New Roman" w:cs="Times New Roman" w:eastAsiaTheme="minorEastAsia"/>
          <w:sz w:val="28"/>
          <w:szCs w:val="28"/>
          <w:lang w:val="en-US" w:eastAsia="zh-CN"/>
        </w:rPr>
        <w:t>，国务院部署开展电动自行车安全隐患全链条整治工作，提出要注重系统治理，强化标准引领，</w:t>
      </w:r>
      <w:r>
        <w:rPr>
          <w:rFonts w:hint="eastAsia" w:ascii="Times New Roman" w:hAnsi="Times New Roman" w:cs="Times New Roman" w:eastAsiaTheme="minorEastAsia"/>
          <w:sz w:val="28"/>
          <w:szCs w:val="28"/>
          <w:lang w:val="en-US" w:eastAsia="zh-CN"/>
        </w:rPr>
        <w:t>全国多地多部门</w:t>
      </w:r>
      <w:r>
        <w:rPr>
          <w:rFonts w:hint="default" w:ascii="Times New Roman" w:hAnsi="Times New Roman" w:cs="Times New Roman" w:eastAsiaTheme="minorEastAsia"/>
          <w:sz w:val="28"/>
          <w:szCs w:val="28"/>
          <w:lang w:val="en-US" w:eastAsia="zh-CN"/>
        </w:rPr>
        <w:t>出台颁布</w:t>
      </w:r>
      <w:r>
        <w:rPr>
          <w:rFonts w:hint="eastAsia" w:ascii="Times New Roman" w:hAnsi="Times New Roman" w:cs="Times New Roman" w:eastAsiaTheme="minorEastAsia"/>
          <w:sz w:val="28"/>
          <w:szCs w:val="28"/>
          <w:lang w:val="en-US" w:eastAsia="zh-CN"/>
        </w:rPr>
        <w:t>及</w:t>
      </w:r>
      <w:r>
        <w:rPr>
          <w:rFonts w:hint="default" w:ascii="Times New Roman" w:hAnsi="Times New Roman" w:cs="Times New Roman" w:eastAsiaTheme="minorEastAsia"/>
          <w:sz w:val="28"/>
          <w:szCs w:val="28"/>
          <w:lang w:val="en-US" w:eastAsia="zh-CN"/>
        </w:rPr>
        <w:t>修订</w:t>
      </w:r>
      <w:r>
        <w:rPr>
          <w:rFonts w:hint="eastAsia" w:ascii="Times New Roman" w:hAnsi="Times New Roman" w:cs="Times New Roman" w:eastAsiaTheme="minorEastAsia"/>
          <w:sz w:val="28"/>
          <w:szCs w:val="28"/>
          <w:lang w:val="en-US" w:eastAsia="zh-CN"/>
        </w:rPr>
        <w:t>多项</w:t>
      </w:r>
      <w:r>
        <w:rPr>
          <w:rFonts w:hint="default" w:ascii="Times New Roman" w:hAnsi="Times New Roman" w:cs="Times New Roman" w:eastAsiaTheme="minorEastAsia"/>
          <w:sz w:val="28"/>
          <w:szCs w:val="28"/>
          <w:lang w:val="en-US" w:eastAsia="zh-CN"/>
        </w:rPr>
        <w:t>标准规范，对电动自行车蓄电池技术</w:t>
      </w:r>
      <w:r>
        <w:rPr>
          <w:rFonts w:hint="eastAsia" w:ascii="Times New Roman" w:hAnsi="Times New Roman" w:cs="Times New Roman" w:eastAsiaTheme="minorEastAsia"/>
          <w:sz w:val="28"/>
          <w:szCs w:val="28"/>
          <w:lang w:val="en-US" w:eastAsia="zh-CN"/>
        </w:rPr>
        <w:t>及管理</w:t>
      </w:r>
      <w:r>
        <w:rPr>
          <w:rFonts w:hint="default" w:ascii="Times New Roman" w:hAnsi="Times New Roman" w:cs="Times New Roman" w:eastAsiaTheme="minorEastAsia"/>
          <w:sz w:val="28"/>
          <w:szCs w:val="28"/>
          <w:lang w:val="en-US" w:eastAsia="zh-CN"/>
        </w:rPr>
        <w:t>有了</w:t>
      </w:r>
      <w:r>
        <w:rPr>
          <w:rFonts w:hint="eastAsia" w:ascii="Times New Roman" w:hAnsi="Times New Roman" w:cs="Times New Roman" w:eastAsiaTheme="minorEastAsia"/>
          <w:sz w:val="28"/>
          <w:szCs w:val="28"/>
          <w:lang w:val="en-US" w:eastAsia="zh-CN"/>
        </w:rPr>
        <w:t>很多</w:t>
      </w:r>
      <w:r>
        <w:rPr>
          <w:rFonts w:hint="default" w:ascii="Times New Roman" w:hAnsi="Times New Roman" w:cs="Times New Roman" w:eastAsiaTheme="minorEastAsia"/>
          <w:sz w:val="28"/>
          <w:szCs w:val="28"/>
          <w:lang w:val="en-US" w:eastAsia="zh-CN"/>
        </w:rPr>
        <w:t>新的要求</w:t>
      </w:r>
      <w:r>
        <w:rPr>
          <w:rFonts w:hint="eastAsia" w:ascii="Times New Roman" w:hAnsi="Times New Roman" w:cs="Times New Roman" w:eastAsiaTheme="minorEastAsia"/>
          <w:sz w:val="28"/>
          <w:szCs w:val="28"/>
          <w:lang w:val="en-US" w:eastAsia="zh-CN"/>
        </w:rPr>
        <w:t>。此外，</w:t>
      </w:r>
      <w:r>
        <w:rPr>
          <w:rFonts w:hint="default" w:ascii="Times New Roman" w:hAnsi="Times New Roman" w:cs="Times New Roman" w:eastAsiaTheme="minorEastAsia"/>
          <w:sz w:val="28"/>
          <w:szCs w:val="28"/>
          <w:lang w:val="en-US" w:eastAsia="zh-CN"/>
        </w:rPr>
        <w:t>原</w:t>
      </w:r>
      <w:r>
        <w:rPr>
          <w:rFonts w:hint="eastAsia" w:ascii="Times New Roman" w:hAnsi="Times New Roman" w:cs="Times New Roman" w:eastAsiaTheme="minorEastAsia"/>
          <w:sz w:val="28"/>
          <w:szCs w:val="28"/>
          <w:lang w:val="en-US" w:eastAsia="zh-CN"/>
        </w:rPr>
        <w:t>标准</w:t>
      </w:r>
      <w:r>
        <w:rPr>
          <w:rFonts w:hint="default" w:ascii="Times New Roman" w:hAnsi="Times New Roman" w:cs="Times New Roman" w:eastAsiaTheme="minorEastAsia"/>
          <w:sz w:val="28"/>
          <w:szCs w:val="28"/>
          <w:lang w:val="en-US" w:eastAsia="zh-CN"/>
        </w:rPr>
        <w:t>《电动自行车蓄电池充换电场（站）安全技术要求》中技术对象范围较大，</w:t>
      </w:r>
      <w:r>
        <w:rPr>
          <w:rFonts w:hint="eastAsia" w:ascii="Times New Roman" w:hAnsi="Times New Roman" w:cs="Times New Roman" w:eastAsiaTheme="minorEastAsia"/>
          <w:sz w:val="28"/>
          <w:szCs w:val="28"/>
          <w:lang w:val="en-US" w:eastAsia="zh-CN"/>
        </w:rPr>
        <w:t>涉及多个</w:t>
      </w:r>
      <w:r>
        <w:rPr>
          <w:rFonts w:hint="eastAsia" w:ascii="Times New Roman" w:hAnsi="Times New Roman" w:cs="Times New Roman"/>
          <w:sz w:val="28"/>
          <w:szCs w:val="28"/>
          <w:lang w:val="en-US" w:eastAsia="zh-CN"/>
        </w:rPr>
        <w:t>行业</w:t>
      </w:r>
      <w:r>
        <w:rPr>
          <w:rFonts w:hint="eastAsia" w:ascii="Times New Roman" w:hAnsi="Times New Roman" w:cs="Times New Roman" w:eastAsiaTheme="minorEastAsia"/>
          <w:sz w:val="28"/>
          <w:szCs w:val="28"/>
          <w:lang w:val="en-US" w:eastAsia="zh-CN"/>
        </w:rPr>
        <w:t>部门监管，目前</w:t>
      </w:r>
      <w:r>
        <w:rPr>
          <w:rFonts w:hint="eastAsia" w:ascii="Times New Roman" w:hAnsi="Times New Roman" w:cs="Times New Roman"/>
          <w:sz w:val="28"/>
          <w:szCs w:val="28"/>
          <w:lang w:val="en-US" w:eastAsia="zh-CN"/>
        </w:rPr>
        <w:t>，</w:t>
      </w:r>
      <w:r>
        <w:rPr>
          <w:rFonts w:hint="eastAsia" w:ascii="Times New Roman" w:hAnsi="Times New Roman" w:cs="Times New Roman" w:eastAsiaTheme="minorEastAsia"/>
          <w:sz w:val="28"/>
          <w:szCs w:val="28"/>
          <w:lang w:val="en-US" w:eastAsia="zh-CN"/>
        </w:rPr>
        <w:t>省内住建部门也正在编制《电动车充电基础设施建设技术规程》，南京市发布《南京市电动自行车集中充（换）电设施建设运营管理办法（试行）》等多项标准规范。为保证标准发布后的顺利实施，进一步聚焦研究技术对象。2024年8月，编制组向省应急管理厅，省市场监督管理局请示，将标准研究题目变更为</w:t>
      </w:r>
      <w:r>
        <w:rPr>
          <w:rFonts w:hint="default" w:ascii="Times New Roman" w:hAnsi="Times New Roman" w:cs="Times New Roman" w:eastAsiaTheme="minorEastAsia"/>
          <w:sz w:val="28"/>
          <w:szCs w:val="28"/>
          <w:lang w:val="en-US" w:eastAsia="zh-CN"/>
        </w:rPr>
        <w:t>《电动自行车锂离子电池充换电柜安全技术要求》，项目承担单位为江苏省安全生产科学</w:t>
      </w:r>
      <w:r>
        <w:rPr>
          <w:rFonts w:hint="eastAsia" w:ascii="Times New Roman" w:hAnsi="Times New Roman" w:cs="Times New Roman"/>
          <w:sz w:val="28"/>
          <w:szCs w:val="28"/>
          <w:lang w:val="en-US" w:eastAsia="zh-CN"/>
        </w:rPr>
        <w:t>研究</w:t>
      </w:r>
      <w:r>
        <w:rPr>
          <w:rFonts w:hint="default" w:ascii="Times New Roman" w:hAnsi="Times New Roman" w:cs="Times New Roman" w:eastAsiaTheme="minorEastAsia"/>
          <w:sz w:val="28"/>
          <w:szCs w:val="28"/>
          <w:lang w:val="en-US" w:eastAsia="zh-CN"/>
        </w:rPr>
        <w:t>院，对口行政部门为江苏省应急管理厅。</w:t>
      </w:r>
    </w:p>
    <w:p w14:paraId="6D0D2EB5">
      <w:pPr>
        <w:keepNext w:val="0"/>
        <w:keepLines w:val="0"/>
        <w:pageBreakBefore w:val="0"/>
        <w:widowControl w:val="0"/>
        <w:numPr>
          <w:ilvl w:val="0"/>
          <w:numId w:val="2"/>
        </w:numPr>
        <w:kinsoku/>
        <w:wordWrap/>
        <w:topLinePunct w:val="0"/>
        <w:bidi w:val="0"/>
        <w:spacing w:line="560" w:lineRule="exact"/>
        <w:ind w:firstLine="640" w:firstLineChars="200"/>
        <w:contextualSpacing/>
        <w:textAlignment w:val="auto"/>
        <w:rPr>
          <w:rFonts w:hint="default" w:ascii="Times New Roman" w:hAnsi="Times New Roman" w:eastAsia="黑体" w:cs="Times New Roman"/>
          <w:sz w:val="32"/>
          <w:szCs w:val="32"/>
          <w:lang w:val="en-US" w:eastAsia="zh-CN"/>
        </w:rPr>
      </w:pPr>
      <w:bookmarkStart w:id="11" w:name="_Toc991"/>
      <w:bookmarkStart w:id="12" w:name="_Toc11283_WPSOffice_Level1"/>
      <w:bookmarkStart w:id="13" w:name="_Toc15316"/>
      <w:r>
        <w:rPr>
          <w:rFonts w:hint="default" w:ascii="Times New Roman" w:hAnsi="Times New Roman" w:eastAsia="黑体" w:cs="Times New Roman"/>
          <w:sz w:val="32"/>
          <w:szCs w:val="32"/>
          <w:lang w:val="en-US" w:eastAsia="zh-CN"/>
        </w:rPr>
        <w:t>编制过程</w:t>
      </w:r>
      <w:bookmarkEnd w:id="11"/>
      <w:bookmarkEnd w:id="12"/>
      <w:bookmarkEnd w:id="13"/>
    </w:p>
    <w:p w14:paraId="549BC3E0">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default" w:ascii="Times New Roman" w:hAnsi="Times New Roman" w:cs="Times New Roman" w:eastAsiaTheme="minorEastAsia"/>
          <w:sz w:val="28"/>
          <w:szCs w:val="28"/>
          <w:lang w:val="en-US" w:eastAsia="zh-CN"/>
        </w:rPr>
      </w:pPr>
      <w:r>
        <w:rPr>
          <w:rFonts w:hint="default" w:ascii="Times New Roman" w:hAnsi="Times New Roman" w:cs="Times New Roman" w:eastAsiaTheme="minorEastAsia"/>
          <w:sz w:val="28"/>
          <w:szCs w:val="28"/>
          <w:lang w:val="en-US" w:eastAsia="zh-CN"/>
        </w:rPr>
        <w:t>为保证本标准制定的科学性、有效性、实用性，编制工作承担单位成立了标准起草工作小组，标准的制定工作过程简述如下：</w:t>
      </w:r>
    </w:p>
    <w:p w14:paraId="232D52D9">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outlineLvl w:val="9"/>
        <w:rPr>
          <w:rFonts w:hint="default" w:ascii="Times New Roman" w:hAnsi="Times New Roman" w:eastAsia="楷体" w:cs="Times New Roman"/>
          <w:kern w:val="0"/>
          <w:sz w:val="30"/>
          <w:szCs w:val="30"/>
          <w:lang w:val="en-US" w:eastAsia="zh-CN"/>
        </w:rPr>
      </w:pPr>
      <w:r>
        <w:rPr>
          <w:rFonts w:hint="eastAsia" w:ascii="Times New Roman" w:hAnsi="Times New Roman" w:eastAsia="楷体" w:cs="Times New Roman"/>
          <w:kern w:val="0"/>
          <w:sz w:val="30"/>
          <w:szCs w:val="30"/>
          <w:lang w:val="en-US" w:eastAsia="zh-CN"/>
        </w:rPr>
        <w:t>1.</w:t>
      </w:r>
      <w:r>
        <w:rPr>
          <w:rFonts w:hint="default" w:ascii="Times New Roman" w:hAnsi="Times New Roman" w:eastAsia="楷体" w:cs="Times New Roman"/>
          <w:kern w:val="0"/>
          <w:sz w:val="30"/>
          <w:szCs w:val="30"/>
          <w:lang w:val="en-US" w:eastAsia="zh-CN"/>
        </w:rPr>
        <w:t>标准预研（2023年5月</w:t>
      </w:r>
      <w:r>
        <w:rPr>
          <w:rFonts w:hint="eastAsia" w:ascii="Times New Roman" w:hAnsi="Times New Roman" w:eastAsia="楷体" w:cs="Times New Roman"/>
          <w:kern w:val="0"/>
          <w:sz w:val="30"/>
          <w:szCs w:val="30"/>
          <w:lang w:val="en-US" w:eastAsia="zh-CN"/>
        </w:rPr>
        <w:t>—</w:t>
      </w:r>
      <w:r>
        <w:rPr>
          <w:rFonts w:hint="default" w:ascii="Times New Roman" w:hAnsi="Times New Roman" w:eastAsia="楷体" w:cs="Times New Roman"/>
          <w:kern w:val="0"/>
          <w:sz w:val="30"/>
          <w:szCs w:val="30"/>
          <w:lang w:val="en-US" w:eastAsia="zh-CN"/>
        </w:rPr>
        <w:t>2023年7月）</w:t>
      </w:r>
    </w:p>
    <w:p w14:paraId="7B3B6349">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default" w:ascii="Times New Roman" w:hAnsi="Times New Roman" w:cs="Times New Roman" w:eastAsiaTheme="minorEastAsia"/>
          <w:sz w:val="28"/>
          <w:szCs w:val="28"/>
          <w:lang w:val="en-US" w:eastAsia="zh-CN"/>
        </w:rPr>
      </w:pPr>
      <w:r>
        <w:rPr>
          <w:rFonts w:hint="eastAsia" w:ascii="Times New Roman" w:hAnsi="Times New Roman" w:cs="Times New Roman"/>
          <w:sz w:val="28"/>
          <w:szCs w:val="28"/>
          <w:lang w:val="en-US" w:eastAsia="zh-CN"/>
        </w:rPr>
        <w:t>(1)</w:t>
      </w:r>
      <w:r>
        <w:rPr>
          <w:rFonts w:hint="default" w:ascii="Times New Roman" w:hAnsi="Times New Roman" w:cs="Times New Roman" w:eastAsiaTheme="minorEastAsia"/>
          <w:sz w:val="28"/>
          <w:szCs w:val="28"/>
          <w:lang w:val="en-US" w:eastAsia="zh-CN"/>
        </w:rPr>
        <w:t>前期研究基础。江苏省安全生产科学研究院</w:t>
      </w:r>
      <w:r>
        <w:rPr>
          <w:rFonts w:hint="eastAsia" w:ascii="Times New Roman" w:hAnsi="Times New Roman" w:cs="Times New Roman" w:eastAsiaTheme="minorEastAsia"/>
          <w:sz w:val="28"/>
          <w:szCs w:val="28"/>
          <w:lang w:val="en-US" w:eastAsia="zh-CN"/>
        </w:rPr>
        <w:t>多年围绕</w:t>
      </w:r>
      <w:r>
        <w:rPr>
          <w:rFonts w:hint="default" w:ascii="Times New Roman" w:hAnsi="Times New Roman" w:cs="Times New Roman" w:eastAsiaTheme="minorEastAsia"/>
          <w:sz w:val="28"/>
          <w:szCs w:val="28"/>
          <w:lang w:val="en-US" w:eastAsia="zh-CN"/>
        </w:rPr>
        <w:t>安全生产、应急管理领域政策规划</w:t>
      </w:r>
      <w:r>
        <w:rPr>
          <w:rFonts w:hint="eastAsia" w:ascii="Times New Roman" w:hAnsi="Times New Roman" w:cs="Times New Roman" w:eastAsiaTheme="minorEastAsia"/>
          <w:sz w:val="28"/>
          <w:szCs w:val="28"/>
          <w:lang w:val="en-US" w:eastAsia="zh-CN"/>
        </w:rPr>
        <w:t>研究、</w:t>
      </w:r>
      <w:r>
        <w:rPr>
          <w:rFonts w:hint="default" w:ascii="Times New Roman" w:hAnsi="Times New Roman" w:cs="Times New Roman" w:eastAsiaTheme="minorEastAsia"/>
          <w:sz w:val="28"/>
          <w:szCs w:val="28"/>
          <w:lang w:val="en-US" w:eastAsia="zh-CN"/>
        </w:rPr>
        <w:t>标准体系建设及应用技术研究</w:t>
      </w:r>
      <w:r>
        <w:rPr>
          <w:rFonts w:hint="eastAsia" w:ascii="Times New Roman" w:hAnsi="Times New Roman" w:cs="Times New Roman" w:eastAsiaTheme="minorEastAsia"/>
          <w:sz w:val="28"/>
          <w:szCs w:val="28"/>
          <w:lang w:val="en-US" w:eastAsia="zh-CN"/>
        </w:rPr>
        <w:t>等开展业务</w:t>
      </w:r>
      <w:r>
        <w:rPr>
          <w:rFonts w:hint="default" w:ascii="Times New Roman" w:hAnsi="Times New Roman" w:cs="Times New Roman" w:eastAsiaTheme="minorEastAsia"/>
          <w:sz w:val="28"/>
          <w:szCs w:val="28"/>
          <w:lang w:val="en-US" w:eastAsia="zh-CN"/>
        </w:rPr>
        <w:t>，积累了丰富的实践经验，为此标准制定打下理论和实践基础。通过</w:t>
      </w:r>
      <w:r>
        <w:rPr>
          <w:rFonts w:hint="eastAsia" w:ascii="Times New Roman" w:hAnsi="Times New Roman" w:cs="Times New Roman" w:eastAsiaTheme="minorEastAsia"/>
          <w:sz w:val="28"/>
          <w:szCs w:val="28"/>
          <w:lang w:val="en-US" w:eastAsia="zh-CN"/>
        </w:rPr>
        <w:t>参与国际轻型电动车创新技术大会</w:t>
      </w:r>
      <w:r>
        <w:rPr>
          <w:rFonts w:hint="default" w:ascii="Times New Roman" w:hAnsi="Times New Roman" w:cs="Times New Roman" w:eastAsiaTheme="minorEastAsia"/>
          <w:sz w:val="28"/>
          <w:szCs w:val="28"/>
          <w:lang w:val="en-US" w:eastAsia="zh-CN"/>
        </w:rPr>
        <w:t>，</w:t>
      </w:r>
      <w:r>
        <w:rPr>
          <w:rFonts w:hint="eastAsia" w:ascii="Times New Roman" w:hAnsi="Times New Roman" w:cs="Times New Roman"/>
          <w:sz w:val="28"/>
          <w:szCs w:val="28"/>
          <w:lang w:val="en-US" w:eastAsia="zh-CN"/>
        </w:rPr>
        <w:t>课题</w:t>
      </w:r>
      <w:r>
        <w:rPr>
          <w:rFonts w:hint="default" w:ascii="Times New Roman" w:hAnsi="Times New Roman" w:cs="Times New Roman" w:eastAsiaTheme="minorEastAsia"/>
          <w:sz w:val="28"/>
          <w:szCs w:val="28"/>
          <w:lang w:val="en-US" w:eastAsia="zh-CN"/>
        </w:rPr>
        <w:t>组在</w:t>
      </w:r>
      <w:r>
        <w:rPr>
          <w:rFonts w:hint="eastAsia" w:ascii="Times New Roman" w:hAnsi="Times New Roman" w:cs="Times New Roman" w:eastAsiaTheme="minorEastAsia"/>
          <w:sz w:val="28"/>
          <w:szCs w:val="28"/>
          <w:lang w:val="en-US" w:eastAsia="zh-CN"/>
        </w:rPr>
        <w:t>数字化充电系统、电池标准法规、电池系统安全及预警</w:t>
      </w:r>
      <w:r>
        <w:rPr>
          <w:rFonts w:hint="default" w:ascii="Times New Roman" w:hAnsi="Times New Roman" w:cs="Times New Roman" w:eastAsiaTheme="minorEastAsia"/>
          <w:sz w:val="28"/>
          <w:szCs w:val="28"/>
          <w:lang w:val="en-US" w:eastAsia="zh-CN"/>
        </w:rPr>
        <w:t>开展了一系列</w:t>
      </w:r>
      <w:r>
        <w:rPr>
          <w:rFonts w:hint="eastAsia" w:ascii="Times New Roman" w:hAnsi="Times New Roman" w:cs="Times New Roman" w:eastAsiaTheme="minorEastAsia"/>
          <w:sz w:val="28"/>
          <w:szCs w:val="28"/>
          <w:lang w:val="en-US" w:eastAsia="zh-CN"/>
        </w:rPr>
        <w:t>主题探讨</w:t>
      </w:r>
      <w:r>
        <w:rPr>
          <w:rFonts w:hint="default" w:ascii="Times New Roman" w:hAnsi="Times New Roman" w:cs="Times New Roman" w:eastAsiaTheme="minorEastAsia"/>
          <w:sz w:val="28"/>
          <w:szCs w:val="28"/>
          <w:lang w:val="en-US" w:eastAsia="zh-CN"/>
        </w:rPr>
        <w:t>，总结并初步提出了适用于</w:t>
      </w:r>
      <w:r>
        <w:rPr>
          <w:rFonts w:hint="eastAsia" w:ascii="Times New Roman" w:hAnsi="Times New Roman" w:cs="Times New Roman" w:eastAsiaTheme="minorEastAsia"/>
          <w:sz w:val="28"/>
          <w:szCs w:val="28"/>
          <w:lang w:val="en-US" w:eastAsia="zh-CN"/>
        </w:rPr>
        <w:t>该标准的</w:t>
      </w:r>
      <w:r>
        <w:rPr>
          <w:rFonts w:hint="default" w:ascii="Times New Roman" w:hAnsi="Times New Roman" w:cs="Times New Roman" w:eastAsiaTheme="minorEastAsia"/>
          <w:sz w:val="28"/>
          <w:szCs w:val="28"/>
          <w:lang w:val="en-US" w:eastAsia="zh-CN"/>
        </w:rPr>
        <w:t>调</w:t>
      </w:r>
      <w:r>
        <w:rPr>
          <w:rFonts w:hint="eastAsia" w:ascii="Times New Roman" w:hAnsi="Times New Roman" w:cs="Times New Roman" w:eastAsiaTheme="minorEastAsia"/>
          <w:sz w:val="28"/>
          <w:szCs w:val="28"/>
          <w:lang w:val="en-US" w:eastAsia="zh-CN"/>
        </w:rPr>
        <w:t>研</w:t>
      </w:r>
      <w:r>
        <w:rPr>
          <w:rFonts w:hint="default" w:ascii="Times New Roman" w:hAnsi="Times New Roman" w:cs="Times New Roman" w:eastAsiaTheme="minorEastAsia"/>
          <w:sz w:val="28"/>
          <w:szCs w:val="28"/>
          <w:lang w:val="en-US" w:eastAsia="zh-CN"/>
        </w:rPr>
        <w:t>内容</w:t>
      </w:r>
      <w:r>
        <w:rPr>
          <w:rFonts w:hint="eastAsia" w:ascii="Times New Roman" w:hAnsi="Times New Roman" w:cs="Times New Roman" w:eastAsiaTheme="minorEastAsia"/>
          <w:sz w:val="28"/>
          <w:szCs w:val="28"/>
          <w:lang w:val="en-US" w:eastAsia="zh-CN"/>
        </w:rPr>
        <w:t>、</w:t>
      </w:r>
      <w:r>
        <w:rPr>
          <w:rFonts w:hint="default" w:ascii="Times New Roman" w:hAnsi="Times New Roman" w:cs="Times New Roman" w:eastAsiaTheme="minorEastAsia"/>
          <w:sz w:val="28"/>
          <w:szCs w:val="28"/>
          <w:lang w:val="en-US" w:eastAsia="zh-CN"/>
        </w:rPr>
        <w:t>工作流程和技术要求。</w:t>
      </w:r>
    </w:p>
    <w:p w14:paraId="68786C2C">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default" w:ascii="Times New Roman" w:hAnsi="Times New Roman" w:cs="Times New Roman" w:eastAsiaTheme="minorEastAsia"/>
          <w:sz w:val="28"/>
          <w:szCs w:val="28"/>
          <w:lang w:val="en-US" w:eastAsia="zh-CN"/>
        </w:rPr>
      </w:pPr>
      <w:r>
        <w:rPr>
          <w:rFonts w:hint="eastAsia" w:ascii="Times New Roman" w:hAnsi="Times New Roman" w:cs="Times New Roman"/>
          <w:sz w:val="28"/>
          <w:szCs w:val="28"/>
          <w:lang w:val="en-US" w:eastAsia="zh-CN"/>
        </w:rPr>
        <w:t>(2)</w:t>
      </w:r>
      <w:r>
        <w:rPr>
          <w:rFonts w:hint="default" w:ascii="Times New Roman" w:hAnsi="Times New Roman" w:cs="Times New Roman" w:eastAsiaTheme="minorEastAsia"/>
          <w:sz w:val="28"/>
          <w:szCs w:val="28"/>
          <w:lang w:val="en-US" w:eastAsia="zh-CN"/>
        </w:rPr>
        <w:t>调研及收集文献、标准和法规。202</w:t>
      </w:r>
      <w:r>
        <w:rPr>
          <w:rFonts w:hint="eastAsia" w:ascii="Times New Roman" w:hAnsi="Times New Roman" w:cs="Times New Roman" w:eastAsiaTheme="minorEastAsia"/>
          <w:sz w:val="28"/>
          <w:szCs w:val="28"/>
          <w:lang w:val="en-US" w:eastAsia="zh-CN"/>
        </w:rPr>
        <w:t>3</w:t>
      </w:r>
      <w:r>
        <w:rPr>
          <w:rFonts w:hint="default" w:ascii="Times New Roman" w:hAnsi="Times New Roman" w:cs="Times New Roman" w:eastAsiaTheme="minorEastAsia"/>
          <w:sz w:val="28"/>
          <w:szCs w:val="28"/>
          <w:lang w:val="en-US" w:eastAsia="zh-CN"/>
        </w:rPr>
        <w:t>年江苏省安全生产科学研究院实地走访调研了南京市电动自行车停放场所；研读相关国家</w:t>
      </w:r>
      <w:r>
        <w:rPr>
          <w:rFonts w:hint="eastAsia" w:ascii="Times New Roman" w:hAnsi="Times New Roman" w:cs="Times New Roman"/>
          <w:sz w:val="28"/>
          <w:szCs w:val="28"/>
          <w:lang w:val="en-US" w:eastAsia="zh-CN"/>
        </w:rPr>
        <w:t>、行业、地方</w:t>
      </w:r>
      <w:r>
        <w:rPr>
          <w:rFonts w:hint="default" w:ascii="Times New Roman" w:hAnsi="Times New Roman" w:cs="Times New Roman" w:eastAsiaTheme="minorEastAsia"/>
          <w:sz w:val="28"/>
          <w:szCs w:val="28"/>
          <w:lang w:val="en-US" w:eastAsia="zh-CN"/>
        </w:rPr>
        <w:t>规范和标准。充分了解江苏省电动自行车</w:t>
      </w:r>
      <w:r>
        <w:rPr>
          <w:rFonts w:hint="eastAsia" w:ascii="Times New Roman" w:hAnsi="Times New Roman" w:cs="Times New Roman" w:eastAsiaTheme="minorEastAsia"/>
          <w:sz w:val="28"/>
          <w:szCs w:val="28"/>
          <w:lang w:val="en-US" w:eastAsia="zh-CN"/>
        </w:rPr>
        <w:t>锂离子电池充换电柜</w:t>
      </w:r>
      <w:r>
        <w:rPr>
          <w:rFonts w:hint="default" w:ascii="Times New Roman" w:hAnsi="Times New Roman" w:cs="Times New Roman" w:eastAsiaTheme="minorEastAsia"/>
          <w:sz w:val="28"/>
          <w:szCs w:val="28"/>
          <w:lang w:val="en-US" w:eastAsia="zh-CN"/>
        </w:rPr>
        <w:t>实际情况和现实需求，分析现存问题的原因，并邀请各行业领域专家研讨了本次规范编制的必要性及主要内容。</w:t>
      </w:r>
    </w:p>
    <w:p w14:paraId="6BD6D598">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outlineLvl w:val="9"/>
        <w:rPr>
          <w:rFonts w:hint="default" w:ascii="Times New Roman" w:hAnsi="Times New Roman" w:eastAsia="楷体" w:cs="Times New Roman"/>
          <w:kern w:val="0"/>
          <w:sz w:val="30"/>
          <w:szCs w:val="30"/>
          <w:lang w:val="en-US" w:eastAsia="zh-CN"/>
        </w:rPr>
      </w:pPr>
      <w:r>
        <w:rPr>
          <w:rFonts w:hint="eastAsia" w:ascii="Times New Roman" w:hAnsi="Times New Roman" w:eastAsia="楷体" w:cs="Times New Roman"/>
          <w:kern w:val="0"/>
          <w:sz w:val="30"/>
          <w:szCs w:val="30"/>
          <w:lang w:val="en-US" w:eastAsia="zh-CN"/>
        </w:rPr>
        <w:t>2.</w:t>
      </w:r>
      <w:r>
        <w:rPr>
          <w:rFonts w:hint="default" w:ascii="Times New Roman" w:hAnsi="Times New Roman" w:eastAsia="楷体" w:cs="Times New Roman"/>
          <w:kern w:val="0"/>
          <w:sz w:val="30"/>
          <w:szCs w:val="30"/>
          <w:lang w:val="en-US" w:eastAsia="zh-CN"/>
        </w:rPr>
        <w:t>标准起草（2023年8月</w:t>
      </w:r>
      <w:r>
        <w:rPr>
          <w:rFonts w:hint="eastAsia" w:ascii="Times New Roman" w:hAnsi="Times New Roman" w:eastAsia="楷体" w:cs="Times New Roman"/>
          <w:kern w:val="0"/>
          <w:sz w:val="30"/>
          <w:szCs w:val="30"/>
          <w:lang w:val="en-US" w:eastAsia="zh-CN"/>
        </w:rPr>
        <w:t>—</w:t>
      </w:r>
      <w:r>
        <w:rPr>
          <w:rFonts w:hint="default" w:ascii="Times New Roman" w:hAnsi="Times New Roman" w:eastAsia="楷体" w:cs="Times New Roman"/>
          <w:kern w:val="0"/>
          <w:sz w:val="30"/>
          <w:szCs w:val="30"/>
          <w:lang w:val="en-US" w:eastAsia="zh-CN"/>
        </w:rPr>
        <w:t>2023年10月）</w:t>
      </w:r>
    </w:p>
    <w:p w14:paraId="1FC2C7CD">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default" w:ascii="Times New Roman" w:hAnsi="Times New Roman" w:cs="Times New Roman" w:eastAsiaTheme="minorEastAsia"/>
          <w:sz w:val="28"/>
          <w:szCs w:val="28"/>
          <w:lang w:val="en-US" w:eastAsia="zh-CN"/>
        </w:rPr>
      </w:pPr>
      <w:r>
        <w:rPr>
          <w:rFonts w:hint="default" w:ascii="Times New Roman" w:hAnsi="Times New Roman" w:cs="Times New Roman" w:eastAsiaTheme="minorEastAsia"/>
          <w:color w:val="auto"/>
          <w:sz w:val="28"/>
          <w:szCs w:val="28"/>
          <w:highlight w:val="none"/>
          <w:lang w:val="en-US" w:eastAsia="zh-CN"/>
        </w:rPr>
        <w:t>2023年</w:t>
      </w:r>
      <w:r>
        <w:rPr>
          <w:rFonts w:hint="eastAsia" w:ascii="Times New Roman" w:hAnsi="Times New Roman" w:cs="Times New Roman" w:eastAsiaTheme="minorEastAsia"/>
          <w:color w:val="auto"/>
          <w:sz w:val="28"/>
          <w:szCs w:val="28"/>
          <w:highlight w:val="none"/>
          <w:lang w:val="en-US" w:eastAsia="zh-CN"/>
        </w:rPr>
        <w:t>8</w:t>
      </w:r>
      <w:r>
        <w:rPr>
          <w:rFonts w:hint="default" w:ascii="Times New Roman" w:hAnsi="Times New Roman" w:cs="Times New Roman" w:eastAsiaTheme="minorEastAsia"/>
          <w:color w:val="auto"/>
          <w:sz w:val="28"/>
          <w:szCs w:val="28"/>
          <w:highlight w:val="none"/>
          <w:lang w:val="en-US" w:eastAsia="zh-CN"/>
        </w:rPr>
        <w:t>月</w:t>
      </w:r>
      <w:r>
        <w:rPr>
          <w:rFonts w:hint="default" w:ascii="Times New Roman" w:hAnsi="Times New Roman" w:cs="Times New Roman" w:eastAsiaTheme="minorEastAsia"/>
          <w:sz w:val="28"/>
          <w:szCs w:val="28"/>
          <w:lang w:val="en-US" w:eastAsia="zh-CN"/>
        </w:rPr>
        <w:t>江苏省安全生产科学研究院组建了由无锡市检验检测认证研究院（国家轻型电动自行车及电池产品质量检验检测中心）</w:t>
      </w:r>
      <w:r>
        <w:rPr>
          <w:rFonts w:hint="eastAsia" w:ascii="Times New Roman" w:hAnsi="Times New Roman" w:cs="Times New Roman" w:eastAsiaTheme="minorEastAsia"/>
          <w:sz w:val="28"/>
          <w:szCs w:val="28"/>
          <w:lang w:val="en-US" w:eastAsia="zh-CN"/>
        </w:rPr>
        <w:t>、</w:t>
      </w:r>
      <w:r>
        <w:rPr>
          <w:rFonts w:hint="default" w:ascii="Times New Roman" w:hAnsi="Times New Roman" w:cs="Times New Roman" w:eastAsiaTheme="minorEastAsia"/>
          <w:sz w:val="28"/>
          <w:szCs w:val="28"/>
          <w:lang w:val="en-US" w:eastAsia="zh-CN"/>
        </w:rPr>
        <w:t>无锡</w:t>
      </w:r>
      <w:r>
        <w:rPr>
          <w:rFonts w:hint="eastAsia" w:ascii="Times New Roman" w:hAnsi="Times New Roman" w:cs="Times New Roman"/>
          <w:sz w:val="28"/>
          <w:szCs w:val="28"/>
          <w:lang w:val="en-US" w:eastAsia="zh-CN"/>
        </w:rPr>
        <w:t>市</w:t>
      </w:r>
      <w:r>
        <w:rPr>
          <w:rFonts w:hint="default" w:ascii="Times New Roman" w:hAnsi="Times New Roman" w:cs="Times New Roman" w:eastAsiaTheme="minorEastAsia"/>
          <w:sz w:val="28"/>
          <w:szCs w:val="28"/>
          <w:lang w:val="en-US" w:eastAsia="zh-CN"/>
        </w:rPr>
        <w:t>消防救援支队</w:t>
      </w:r>
      <w:r>
        <w:rPr>
          <w:rFonts w:hint="eastAsia" w:ascii="Times New Roman" w:hAnsi="Times New Roman" w:cs="Times New Roman" w:eastAsiaTheme="minorEastAsia"/>
          <w:sz w:val="28"/>
          <w:szCs w:val="28"/>
          <w:lang w:val="en-US" w:eastAsia="zh-CN"/>
        </w:rPr>
        <w:t>等单位组成的</w:t>
      </w:r>
      <w:r>
        <w:rPr>
          <w:rFonts w:hint="default" w:ascii="Times New Roman" w:hAnsi="Times New Roman" w:cs="Times New Roman" w:eastAsiaTheme="minorEastAsia"/>
          <w:sz w:val="28"/>
          <w:szCs w:val="28"/>
          <w:lang w:val="en-US" w:eastAsia="zh-CN"/>
        </w:rPr>
        <w:t>标准编制组。</w:t>
      </w:r>
    </w:p>
    <w:p w14:paraId="7FDC7052">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default" w:ascii="Times New Roman" w:hAnsi="Times New Roman" w:cs="Times New Roman" w:eastAsiaTheme="minorEastAsia"/>
          <w:sz w:val="28"/>
          <w:szCs w:val="28"/>
          <w:lang w:val="en-US" w:eastAsia="zh-CN"/>
        </w:rPr>
      </w:pPr>
      <w:r>
        <w:rPr>
          <w:rFonts w:hint="eastAsia" w:ascii="Times New Roman" w:hAnsi="Times New Roman" w:cs="Times New Roman"/>
          <w:sz w:val="28"/>
          <w:szCs w:val="28"/>
          <w:lang w:val="en-US" w:eastAsia="zh-CN"/>
        </w:rPr>
        <w:t>同期，在无锡市召开了标准编制启动暨讨论会，该会议详细讨论了标准的具体框架、具体内容和相关技术要求，包括目前锂离子电池充换电柜设计、安装、使用等环节存在的安全隐患；此次启动会确定修订工作思路，统筹标准制定进度，人员分工，并落实资料收集等相关工作；</w:t>
      </w:r>
      <w:r>
        <w:rPr>
          <w:rFonts w:hint="default" w:ascii="Times New Roman" w:hAnsi="Times New Roman" w:cs="Times New Roman" w:eastAsiaTheme="minorEastAsia"/>
          <w:sz w:val="28"/>
          <w:szCs w:val="28"/>
          <w:lang w:val="en-US" w:eastAsia="zh-CN"/>
        </w:rPr>
        <w:t>2023年10月，编制组进行具体商讨、修改，形成初稿。</w:t>
      </w:r>
    </w:p>
    <w:p w14:paraId="36648DC5">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outlineLvl w:val="9"/>
        <w:rPr>
          <w:rFonts w:hint="default" w:ascii="Times New Roman" w:hAnsi="Times New Roman" w:eastAsia="楷体" w:cs="Times New Roman"/>
          <w:kern w:val="0"/>
          <w:sz w:val="30"/>
          <w:szCs w:val="30"/>
          <w:lang w:val="en-US" w:eastAsia="zh-CN"/>
        </w:rPr>
      </w:pPr>
      <w:r>
        <w:rPr>
          <w:rFonts w:hint="eastAsia" w:ascii="Times New Roman" w:hAnsi="Times New Roman" w:eastAsia="楷体" w:cs="Times New Roman"/>
          <w:kern w:val="0"/>
          <w:sz w:val="30"/>
          <w:szCs w:val="30"/>
          <w:lang w:val="en-US" w:eastAsia="zh-CN"/>
        </w:rPr>
        <w:t>3.</w:t>
      </w:r>
      <w:r>
        <w:rPr>
          <w:rFonts w:hint="default" w:ascii="Times New Roman" w:hAnsi="Times New Roman" w:eastAsia="楷体" w:cs="Times New Roman"/>
          <w:kern w:val="0"/>
          <w:sz w:val="30"/>
          <w:szCs w:val="30"/>
          <w:lang w:val="en-US" w:eastAsia="zh-CN"/>
        </w:rPr>
        <w:t>编制及研讨（2023年11月</w:t>
      </w:r>
      <w:r>
        <w:rPr>
          <w:rFonts w:hint="eastAsia" w:ascii="Times New Roman" w:hAnsi="Times New Roman" w:eastAsia="楷体" w:cs="Times New Roman"/>
          <w:kern w:val="0"/>
          <w:sz w:val="30"/>
          <w:szCs w:val="30"/>
          <w:lang w:val="en-US" w:eastAsia="zh-CN"/>
        </w:rPr>
        <w:t>—</w:t>
      </w:r>
      <w:r>
        <w:rPr>
          <w:rFonts w:hint="default" w:ascii="Times New Roman" w:hAnsi="Times New Roman" w:eastAsia="楷体" w:cs="Times New Roman"/>
          <w:kern w:val="0"/>
          <w:sz w:val="30"/>
          <w:szCs w:val="30"/>
          <w:lang w:val="en-US" w:eastAsia="zh-CN"/>
        </w:rPr>
        <w:t>202</w:t>
      </w:r>
      <w:r>
        <w:rPr>
          <w:rFonts w:hint="eastAsia" w:ascii="Times New Roman" w:hAnsi="Times New Roman" w:eastAsia="楷体" w:cs="Times New Roman"/>
          <w:kern w:val="0"/>
          <w:sz w:val="30"/>
          <w:szCs w:val="30"/>
          <w:lang w:val="en-US" w:eastAsia="zh-CN"/>
        </w:rPr>
        <w:t>5</w:t>
      </w:r>
      <w:r>
        <w:rPr>
          <w:rFonts w:hint="default" w:ascii="Times New Roman" w:hAnsi="Times New Roman" w:eastAsia="楷体" w:cs="Times New Roman"/>
          <w:kern w:val="0"/>
          <w:sz w:val="30"/>
          <w:szCs w:val="30"/>
          <w:lang w:val="en-US" w:eastAsia="zh-CN"/>
        </w:rPr>
        <w:t>年</w:t>
      </w:r>
      <w:r>
        <w:rPr>
          <w:rFonts w:hint="eastAsia" w:ascii="Times New Roman" w:hAnsi="Times New Roman" w:eastAsia="楷体" w:cs="Times New Roman"/>
          <w:kern w:val="0"/>
          <w:sz w:val="30"/>
          <w:szCs w:val="30"/>
          <w:lang w:val="en-US" w:eastAsia="zh-CN"/>
        </w:rPr>
        <w:t>1</w:t>
      </w:r>
      <w:r>
        <w:rPr>
          <w:rFonts w:hint="default" w:ascii="Times New Roman" w:hAnsi="Times New Roman" w:eastAsia="楷体" w:cs="Times New Roman"/>
          <w:kern w:val="0"/>
          <w:sz w:val="30"/>
          <w:szCs w:val="30"/>
          <w:lang w:val="en-US" w:eastAsia="zh-CN"/>
        </w:rPr>
        <w:t>月）</w:t>
      </w:r>
    </w:p>
    <w:p w14:paraId="39FC1202">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default" w:ascii="Times New Roman" w:hAnsi="Times New Roman" w:cs="Times New Roman" w:eastAsiaTheme="minorEastAsia"/>
          <w:sz w:val="28"/>
          <w:szCs w:val="28"/>
          <w:lang w:val="en-US" w:eastAsia="zh-CN"/>
        </w:rPr>
      </w:pPr>
      <w:r>
        <w:rPr>
          <w:rFonts w:hint="default" w:ascii="Times New Roman" w:hAnsi="Times New Roman" w:cs="Times New Roman" w:eastAsiaTheme="minorEastAsia"/>
          <w:sz w:val="28"/>
          <w:szCs w:val="28"/>
          <w:lang w:val="en-US" w:eastAsia="zh-CN"/>
        </w:rPr>
        <w:t>2023年11月，在江苏省安全生产科学研究院的组织下，编写组在南京召开了第二次研讨会，为了让标准更加符合实际需求，此次研讨会吸收了更多专业的</w:t>
      </w:r>
      <w:r>
        <w:rPr>
          <w:rFonts w:hint="eastAsia" w:ascii="Times New Roman" w:hAnsi="Times New Roman" w:cs="Times New Roman" w:eastAsiaTheme="minorEastAsia"/>
          <w:sz w:val="28"/>
          <w:szCs w:val="28"/>
          <w:lang w:val="en-US" w:eastAsia="zh-CN"/>
        </w:rPr>
        <w:t>企业</w:t>
      </w:r>
      <w:r>
        <w:rPr>
          <w:rFonts w:hint="default" w:ascii="Times New Roman" w:hAnsi="Times New Roman" w:cs="Times New Roman" w:eastAsiaTheme="minorEastAsia"/>
          <w:sz w:val="28"/>
          <w:szCs w:val="28"/>
          <w:lang w:val="en-US" w:eastAsia="zh-CN"/>
        </w:rPr>
        <w:t>技术力量，邀请苏州星恒电源股份有限公司、</w:t>
      </w:r>
      <w:r>
        <w:rPr>
          <w:rFonts w:hint="eastAsia" w:ascii="Times New Roman" w:hAnsi="Times New Roman" w:cs="Times New Roman" w:eastAsiaTheme="minorEastAsia"/>
          <w:b w:val="0"/>
          <w:bCs w:val="0"/>
          <w:color w:val="auto"/>
          <w:sz w:val="28"/>
          <w:szCs w:val="28"/>
          <w:lang w:val="en-US" w:eastAsia="zh-CN"/>
        </w:rPr>
        <w:t>铁塔能源有限公司江苏分公司</w:t>
      </w:r>
      <w:r>
        <w:rPr>
          <w:rFonts w:hint="default" w:ascii="Times New Roman" w:hAnsi="Times New Roman" w:cs="Times New Roman" w:eastAsiaTheme="minorEastAsia"/>
          <w:sz w:val="28"/>
          <w:szCs w:val="28"/>
          <w:lang w:val="en-US" w:eastAsia="zh-CN"/>
        </w:rPr>
        <w:t>、中国铁塔股份有限公司无锡市分公司、无锡汉博新能源科技有限公司</w:t>
      </w:r>
      <w:r>
        <w:rPr>
          <w:rFonts w:hint="eastAsia" w:ascii="Times New Roman" w:hAnsi="Times New Roman" w:cs="Times New Roman" w:eastAsiaTheme="minorEastAsia"/>
          <w:sz w:val="28"/>
          <w:szCs w:val="28"/>
          <w:lang w:val="en-US" w:eastAsia="zh-CN"/>
        </w:rPr>
        <w:t>等</w:t>
      </w:r>
      <w:r>
        <w:rPr>
          <w:rFonts w:hint="default" w:ascii="Times New Roman" w:hAnsi="Times New Roman" w:cs="Times New Roman" w:eastAsiaTheme="minorEastAsia"/>
          <w:sz w:val="28"/>
          <w:szCs w:val="28"/>
          <w:lang w:val="en-US" w:eastAsia="zh-CN"/>
        </w:rPr>
        <w:t>相关领域的科研人员加入标准编制组。会上就</w:t>
      </w:r>
      <w:r>
        <w:rPr>
          <w:rFonts w:hint="eastAsia" w:ascii="Times New Roman" w:hAnsi="Times New Roman" w:cs="Times New Roman" w:eastAsiaTheme="minorEastAsia"/>
          <w:sz w:val="28"/>
          <w:szCs w:val="28"/>
          <w:lang w:val="en-US" w:eastAsia="zh-CN"/>
        </w:rPr>
        <w:t>充换电柜</w:t>
      </w:r>
      <w:r>
        <w:rPr>
          <w:rFonts w:hint="eastAsia" w:ascii="Times New Roman" w:hAnsi="Times New Roman" w:cs="Times New Roman"/>
          <w:sz w:val="28"/>
          <w:szCs w:val="28"/>
          <w:lang w:val="en-US" w:eastAsia="zh-CN"/>
        </w:rPr>
        <w:t>结构与材料</w:t>
      </w:r>
      <w:r>
        <w:rPr>
          <w:rFonts w:hint="default" w:ascii="Times New Roman" w:hAnsi="Times New Roman" w:cs="Times New Roman" w:eastAsiaTheme="minorEastAsia"/>
          <w:sz w:val="28"/>
          <w:szCs w:val="28"/>
          <w:lang w:val="en-US" w:eastAsia="zh-CN"/>
        </w:rPr>
        <w:t>要求、</w:t>
      </w:r>
      <w:r>
        <w:rPr>
          <w:rFonts w:hint="eastAsia" w:ascii="Times New Roman" w:hAnsi="Times New Roman" w:cs="Times New Roman"/>
          <w:sz w:val="28"/>
          <w:szCs w:val="28"/>
          <w:lang w:val="en-US" w:eastAsia="zh-CN"/>
        </w:rPr>
        <w:t>电气</w:t>
      </w:r>
      <w:r>
        <w:rPr>
          <w:rFonts w:hint="eastAsia" w:ascii="Times New Roman" w:hAnsi="Times New Roman" w:cs="Times New Roman" w:eastAsiaTheme="minorEastAsia"/>
          <w:sz w:val="28"/>
          <w:szCs w:val="28"/>
          <w:lang w:val="en-US" w:eastAsia="zh-CN"/>
        </w:rPr>
        <w:t>安全要求、</w:t>
      </w:r>
      <w:r>
        <w:rPr>
          <w:rFonts w:hint="eastAsia" w:ascii="Times New Roman" w:hAnsi="Times New Roman" w:cs="Times New Roman"/>
          <w:sz w:val="28"/>
          <w:szCs w:val="28"/>
          <w:lang w:val="en-US" w:eastAsia="zh-CN"/>
        </w:rPr>
        <w:t>操作与维护要求</w:t>
      </w:r>
      <w:r>
        <w:rPr>
          <w:rFonts w:hint="eastAsia" w:ascii="Times New Roman" w:hAnsi="Times New Roman" w:cs="Times New Roman" w:eastAsiaTheme="minorEastAsia"/>
          <w:sz w:val="28"/>
          <w:szCs w:val="28"/>
          <w:lang w:val="en-US" w:eastAsia="zh-CN"/>
        </w:rPr>
        <w:t>等内容</w:t>
      </w:r>
      <w:r>
        <w:rPr>
          <w:rFonts w:hint="default" w:ascii="Times New Roman" w:hAnsi="Times New Roman" w:cs="Times New Roman" w:eastAsiaTheme="minorEastAsia"/>
          <w:sz w:val="28"/>
          <w:szCs w:val="28"/>
          <w:lang w:val="en-US" w:eastAsia="zh-CN"/>
        </w:rPr>
        <w:t>进行了充分的研讨。</w:t>
      </w:r>
    </w:p>
    <w:p w14:paraId="358842DD">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default" w:ascii="Times New Roman" w:hAnsi="Times New Roman" w:cs="Times New Roman" w:eastAsiaTheme="minorEastAsia"/>
          <w:sz w:val="28"/>
          <w:szCs w:val="28"/>
          <w:lang w:val="en-US" w:eastAsia="zh-CN"/>
        </w:rPr>
      </w:pPr>
      <w:r>
        <w:rPr>
          <w:rFonts w:hint="default" w:ascii="Times New Roman" w:hAnsi="Times New Roman" w:cs="Times New Roman" w:eastAsiaTheme="minorEastAsia"/>
          <w:sz w:val="28"/>
          <w:szCs w:val="28"/>
          <w:lang w:val="en-US" w:eastAsia="zh-CN"/>
        </w:rPr>
        <w:t>2024年3月，标准编制组赴中国铁塔股份有限公司无锡市分公司</w:t>
      </w:r>
      <w:r>
        <w:rPr>
          <w:rFonts w:hint="eastAsia" w:ascii="Times New Roman" w:hAnsi="Times New Roman" w:cs="Times New Roman"/>
          <w:sz w:val="28"/>
          <w:szCs w:val="28"/>
          <w:lang w:val="en-US" w:eastAsia="zh-CN"/>
        </w:rPr>
        <w:t>、无</w:t>
      </w:r>
      <w:r>
        <w:rPr>
          <w:rFonts w:hint="default" w:ascii="Times New Roman" w:hAnsi="Times New Roman" w:cs="Times New Roman" w:eastAsiaTheme="minorEastAsia"/>
          <w:sz w:val="28"/>
          <w:szCs w:val="28"/>
          <w:lang w:val="en-US" w:eastAsia="zh-CN"/>
        </w:rPr>
        <w:t>锡汉博新能源科技有限公司进行实地调研，对规范</w:t>
      </w:r>
      <w:r>
        <w:rPr>
          <w:rFonts w:hint="eastAsia" w:ascii="Times New Roman" w:hAnsi="Times New Roman" w:cs="Times New Roman"/>
          <w:sz w:val="28"/>
          <w:szCs w:val="28"/>
          <w:lang w:val="en-US" w:eastAsia="zh-CN"/>
        </w:rPr>
        <w:t>中</w:t>
      </w:r>
      <w:r>
        <w:rPr>
          <w:rFonts w:hint="default" w:ascii="Times New Roman" w:hAnsi="Times New Roman" w:cs="Times New Roman" w:eastAsiaTheme="minorEastAsia"/>
          <w:sz w:val="28"/>
          <w:szCs w:val="28"/>
          <w:lang w:val="en-US" w:eastAsia="zh-CN"/>
        </w:rPr>
        <w:t>的“术语及名词解释”</w:t>
      </w:r>
      <w:r>
        <w:rPr>
          <w:rFonts w:hint="eastAsia" w:ascii="Times New Roman" w:hAnsi="Times New Roman" w:cs="Times New Roman"/>
          <w:sz w:val="28"/>
          <w:szCs w:val="28"/>
          <w:lang w:val="en-US" w:eastAsia="zh-CN"/>
        </w:rPr>
        <w:t>“环境适应性要求”</w:t>
      </w:r>
      <w:r>
        <w:rPr>
          <w:rFonts w:hint="default" w:ascii="Times New Roman" w:hAnsi="Times New Roman" w:cs="Times New Roman" w:eastAsiaTheme="minorEastAsia"/>
          <w:sz w:val="28"/>
          <w:szCs w:val="28"/>
          <w:lang w:val="en-US" w:eastAsia="zh-CN"/>
        </w:rPr>
        <w:t>“</w:t>
      </w:r>
      <w:r>
        <w:rPr>
          <w:rFonts w:hint="eastAsia" w:ascii="Times New Roman" w:hAnsi="Times New Roman" w:cs="Times New Roman"/>
          <w:sz w:val="28"/>
          <w:szCs w:val="28"/>
          <w:lang w:val="en-US" w:eastAsia="zh-CN"/>
        </w:rPr>
        <w:t>消防灭火系统</w:t>
      </w:r>
      <w:r>
        <w:rPr>
          <w:rFonts w:hint="default" w:ascii="Times New Roman" w:hAnsi="Times New Roman" w:cs="Times New Roman" w:eastAsiaTheme="minorEastAsia"/>
          <w:sz w:val="28"/>
          <w:szCs w:val="28"/>
          <w:lang w:val="en-US" w:eastAsia="zh-CN"/>
        </w:rPr>
        <w:t>”“</w:t>
      </w:r>
      <w:r>
        <w:rPr>
          <w:rFonts w:hint="eastAsia" w:ascii="Times New Roman" w:hAnsi="Times New Roman" w:cs="Times New Roman" w:eastAsiaTheme="minorEastAsia"/>
          <w:sz w:val="28"/>
          <w:szCs w:val="28"/>
          <w:lang w:val="en-US" w:eastAsia="zh-CN"/>
        </w:rPr>
        <w:t>防雷装置要求</w:t>
      </w:r>
      <w:r>
        <w:rPr>
          <w:rFonts w:hint="default" w:ascii="Times New Roman" w:hAnsi="Times New Roman" w:cs="Times New Roman" w:eastAsiaTheme="minorEastAsia"/>
          <w:sz w:val="28"/>
          <w:szCs w:val="28"/>
          <w:lang w:val="en-US" w:eastAsia="zh-CN"/>
        </w:rPr>
        <w:t>”“</w:t>
      </w:r>
      <w:r>
        <w:rPr>
          <w:rFonts w:hint="eastAsia" w:ascii="Times New Roman" w:hAnsi="Times New Roman" w:cs="Times New Roman" w:eastAsiaTheme="minorEastAsia"/>
          <w:sz w:val="28"/>
          <w:szCs w:val="28"/>
          <w:lang w:val="en-US" w:eastAsia="zh-CN"/>
        </w:rPr>
        <w:t>配电要求</w:t>
      </w:r>
      <w:r>
        <w:rPr>
          <w:rFonts w:hint="default" w:ascii="Times New Roman" w:hAnsi="Times New Roman" w:cs="Times New Roman" w:eastAsiaTheme="minorEastAsia"/>
          <w:sz w:val="28"/>
          <w:szCs w:val="28"/>
          <w:lang w:val="en-US" w:eastAsia="zh-CN"/>
        </w:rPr>
        <w:t>”等内容</w:t>
      </w:r>
      <w:r>
        <w:rPr>
          <w:rFonts w:hint="eastAsia" w:ascii="Times New Roman" w:hAnsi="Times New Roman" w:cs="Times New Roman"/>
          <w:sz w:val="28"/>
          <w:szCs w:val="28"/>
          <w:lang w:val="en-US" w:eastAsia="zh-CN"/>
        </w:rPr>
        <w:t>作出</w:t>
      </w:r>
      <w:r>
        <w:rPr>
          <w:rFonts w:hint="default" w:ascii="Times New Roman" w:hAnsi="Times New Roman" w:cs="Times New Roman" w:eastAsiaTheme="minorEastAsia"/>
          <w:sz w:val="28"/>
          <w:szCs w:val="28"/>
          <w:lang w:val="en-US" w:eastAsia="zh-CN"/>
        </w:rPr>
        <w:t>进一步讨论和修改。</w:t>
      </w:r>
    </w:p>
    <w:p w14:paraId="455A5C97">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Times New Roman" w:hAnsi="Times New Roman" w:cs="Times New Roman" w:eastAsiaTheme="minorEastAsia"/>
          <w:sz w:val="28"/>
          <w:szCs w:val="28"/>
          <w:lang w:val="en-US" w:eastAsia="zh-CN"/>
        </w:rPr>
      </w:pPr>
      <w:r>
        <w:rPr>
          <w:rFonts w:hint="eastAsia" w:ascii="Times New Roman" w:hAnsi="Times New Roman" w:cs="Times New Roman" w:eastAsiaTheme="minorEastAsia"/>
          <w:sz w:val="28"/>
          <w:szCs w:val="28"/>
          <w:lang w:val="en-US" w:eastAsia="zh-CN"/>
        </w:rPr>
        <w:t>2024年4月</w:t>
      </w:r>
      <w:r>
        <w:rPr>
          <w:rFonts w:hint="eastAsia" w:ascii="Times New Roman" w:hAnsi="Times New Roman" w:cs="Times New Roman"/>
          <w:sz w:val="28"/>
          <w:szCs w:val="28"/>
          <w:lang w:val="en-US" w:eastAsia="zh-CN"/>
        </w:rPr>
        <w:t>—</w:t>
      </w:r>
      <w:r>
        <w:rPr>
          <w:rFonts w:hint="default" w:ascii="Times New Roman" w:hAnsi="Times New Roman" w:cs="Times New Roman" w:eastAsiaTheme="minorEastAsia"/>
          <w:sz w:val="28"/>
          <w:szCs w:val="28"/>
          <w:lang w:val="en-US" w:eastAsia="zh-CN"/>
        </w:rPr>
        <w:t>202</w:t>
      </w:r>
      <w:r>
        <w:rPr>
          <w:rFonts w:hint="eastAsia" w:ascii="Times New Roman" w:hAnsi="Times New Roman" w:cs="Times New Roman" w:eastAsiaTheme="minorEastAsia"/>
          <w:sz w:val="28"/>
          <w:szCs w:val="28"/>
          <w:lang w:val="en-US" w:eastAsia="zh-CN"/>
        </w:rPr>
        <w:t>4</w:t>
      </w:r>
      <w:r>
        <w:rPr>
          <w:rFonts w:hint="default" w:ascii="Times New Roman" w:hAnsi="Times New Roman" w:cs="Times New Roman" w:eastAsiaTheme="minorEastAsia"/>
          <w:sz w:val="28"/>
          <w:szCs w:val="28"/>
          <w:lang w:val="en-US" w:eastAsia="zh-CN"/>
        </w:rPr>
        <w:t>年</w:t>
      </w:r>
      <w:r>
        <w:rPr>
          <w:rFonts w:hint="eastAsia" w:ascii="Times New Roman" w:hAnsi="Times New Roman" w:cs="Times New Roman" w:eastAsiaTheme="minorEastAsia"/>
          <w:sz w:val="28"/>
          <w:szCs w:val="28"/>
          <w:lang w:val="en-US" w:eastAsia="zh-CN"/>
        </w:rPr>
        <w:t>9</w:t>
      </w:r>
      <w:r>
        <w:rPr>
          <w:rFonts w:hint="default" w:ascii="Times New Roman" w:hAnsi="Times New Roman" w:cs="Times New Roman" w:eastAsiaTheme="minorEastAsia"/>
          <w:sz w:val="28"/>
          <w:szCs w:val="28"/>
          <w:lang w:val="en-US" w:eastAsia="zh-CN"/>
        </w:rPr>
        <w:t>月</w:t>
      </w:r>
      <w:r>
        <w:rPr>
          <w:rFonts w:hint="eastAsia" w:ascii="Times New Roman" w:hAnsi="Times New Roman" w:cs="Times New Roman" w:eastAsiaTheme="minorEastAsia"/>
          <w:sz w:val="28"/>
          <w:szCs w:val="28"/>
          <w:lang w:val="en-US" w:eastAsia="zh-CN"/>
        </w:rPr>
        <w:t>，</w:t>
      </w:r>
      <w:r>
        <w:rPr>
          <w:rFonts w:hint="default" w:ascii="Times New Roman" w:hAnsi="Times New Roman" w:cs="Times New Roman" w:eastAsiaTheme="minorEastAsia"/>
          <w:sz w:val="28"/>
          <w:szCs w:val="28"/>
          <w:lang w:val="en-US" w:eastAsia="zh-CN"/>
        </w:rPr>
        <w:t>编制组</w:t>
      </w:r>
      <w:r>
        <w:rPr>
          <w:rFonts w:hint="eastAsia" w:ascii="Times New Roman" w:hAnsi="Times New Roman" w:cs="Times New Roman" w:eastAsiaTheme="minorEastAsia"/>
          <w:sz w:val="28"/>
          <w:szCs w:val="28"/>
          <w:lang w:val="en-US" w:eastAsia="zh-CN"/>
        </w:rPr>
        <w:t>根据开展的实地调研、现场会等意见内容，将研究重点及时调整</w:t>
      </w:r>
      <w:r>
        <w:rPr>
          <w:rFonts w:hint="eastAsia" w:ascii="Times New Roman" w:hAnsi="Times New Roman" w:cs="Times New Roman"/>
          <w:sz w:val="28"/>
          <w:szCs w:val="28"/>
          <w:lang w:val="en-US" w:eastAsia="zh-CN"/>
        </w:rPr>
        <w:t>、补充</w:t>
      </w:r>
      <w:r>
        <w:rPr>
          <w:rFonts w:hint="eastAsia" w:ascii="Times New Roman" w:hAnsi="Times New Roman" w:cs="Times New Roman" w:eastAsiaTheme="minorEastAsia"/>
          <w:sz w:val="28"/>
          <w:szCs w:val="28"/>
          <w:lang w:val="en-US" w:eastAsia="zh-CN"/>
        </w:rPr>
        <w:t>，形成初稿</w:t>
      </w:r>
      <w:r>
        <w:rPr>
          <w:rFonts w:hint="eastAsia" w:ascii="Times New Roman" w:hAnsi="Times New Roman" w:cs="Times New Roman"/>
          <w:sz w:val="28"/>
          <w:szCs w:val="28"/>
          <w:lang w:val="en-US" w:eastAsia="zh-CN"/>
        </w:rPr>
        <w:t>后</w:t>
      </w:r>
      <w:r>
        <w:rPr>
          <w:rFonts w:hint="eastAsia" w:ascii="Times New Roman" w:hAnsi="Times New Roman" w:cs="Times New Roman" w:eastAsiaTheme="minorEastAsia"/>
          <w:sz w:val="28"/>
          <w:szCs w:val="28"/>
          <w:lang w:val="en-US" w:eastAsia="zh-CN"/>
        </w:rPr>
        <w:t>向省</w:t>
      </w:r>
      <w:r>
        <w:rPr>
          <w:rFonts w:hint="eastAsia" w:ascii="Times New Roman" w:hAnsi="Times New Roman" w:cs="Times New Roman"/>
          <w:sz w:val="28"/>
          <w:szCs w:val="28"/>
          <w:lang w:val="en-US" w:eastAsia="zh-CN"/>
        </w:rPr>
        <w:t>应急管理厅、省</w:t>
      </w:r>
      <w:r>
        <w:rPr>
          <w:rFonts w:hint="eastAsia" w:ascii="Times New Roman" w:hAnsi="Times New Roman" w:cs="Times New Roman" w:eastAsiaTheme="minorEastAsia"/>
          <w:sz w:val="28"/>
          <w:szCs w:val="28"/>
          <w:lang w:val="en-US" w:eastAsia="zh-CN"/>
        </w:rPr>
        <w:t>市场监督管理局提交标准名称变更申请。</w:t>
      </w:r>
    </w:p>
    <w:p w14:paraId="19C5B012">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Times New Roman" w:hAnsi="Times New Roman" w:cs="Times New Roman" w:eastAsiaTheme="minorEastAsia"/>
          <w:sz w:val="28"/>
          <w:szCs w:val="28"/>
          <w:lang w:val="en-US" w:eastAsia="zh-CN"/>
        </w:rPr>
      </w:pPr>
      <w:r>
        <w:rPr>
          <w:rFonts w:hint="default" w:ascii="Times New Roman" w:hAnsi="Times New Roman" w:cs="Times New Roman" w:eastAsiaTheme="minorEastAsia"/>
          <w:sz w:val="28"/>
          <w:szCs w:val="28"/>
          <w:lang w:val="en-US" w:eastAsia="zh-CN"/>
        </w:rPr>
        <w:t>202</w:t>
      </w:r>
      <w:r>
        <w:rPr>
          <w:rFonts w:hint="eastAsia" w:ascii="Times New Roman" w:hAnsi="Times New Roman" w:cs="Times New Roman" w:eastAsiaTheme="minorEastAsia"/>
          <w:sz w:val="28"/>
          <w:szCs w:val="28"/>
          <w:lang w:val="en-US" w:eastAsia="zh-CN"/>
        </w:rPr>
        <w:t>4</w:t>
      </w:r>
      <w:r>
        <w:rPr>
          <w:rFonts w:hint="default" w:ascii="Times New Roman" w:hAnsi="Times New Roman" w:cs="Times New Roman" w:eastAsiaTheme="minorEastAsia"/>
          <w:sz w:val="28"/>
          <w:szCs w:val="28"/>
          <w:lang w:val="en-US" w:eastAsia="zh-CN"/>
        </w:rPr>
        <w:t>年</w:t>
      </w:r>
      <w:r>
        <w:rPr>
          <w:rFonts w:hint="eastAsia" w:ascii="Times New Roman" w:hAnsi="Times New Roman" w:cs="Times New Roman" w:eastAsiaTheme="minorEastAsia"/>
          <w:sz w:val="28"/>
          <w:szCs w:val="28"/>
          <w:lang w:val="en-US" w:eastAsia="zh-CN"/>
        </w:rPr>
        <w:t>9</w:t>
      </w:r>
      <w:r>
        <w:rPr>
          <w:rFonts w:hint="default" w:ascii="Times New Roman" w:hAnsi="Times New Roman" w:cs="Times New Roman" w:eastAsiaTheme="minorEastAsia"/>
          <w:sz w:val="28"/>
          <w:szCs w:val="28"/>
          <w:lang w:val="en-US" w:eastAsia="zh-CN"/>
        </w:rPr>
        <w:t>月</w:t>
      </w:r>
      <w:r>
        <w:rPr>
          <w:rFonts w:hint="eastAsia" w:ascii="Times New Roman" w:hAnsi="Times New Roman" w:cs="Times New Roman"/>
          <w:sz w:val="28"/>
          <w:szCs w:val="28"/>
          <w:lang w:val="en-US" w:eastAsia="zh-CN"/>
        </w:rPr>
        <w:t>—</w:t>
      </w:r>
      <w:r>
        <w:rPr>
          <w:rFonts w:hint="default" w:ascii="Times New Roman" w:hAnsi="Times New Roman" w:cs="Times New Roman" w:eastAsiaTheme="minorEastAsia"/>
          <w:sz w:val="28"/>
          <w:szCs w:val="28"/>
          <w:lang w:val="en-US" w:eastAsia="zh-CN"/>
        </w:rPr>
        <w:t>202</w:t>
      </w:r>
      <w:r>
        <w:rPr>
          <w:rFonts w:hint="eastAsia" w:ascii="Times New Roman" w:hAnsi="Times New Roman" w:cs="Times New Roman" w:eastAsiaTheme="minorEastAsia"/>
          <w:sz w:val="28"/>
          <w:szCs w:val="28"/>
          <w:lang w:val="en-US" w:eastAsia="zh-CN"/>
        </w:rPr>
        <w:t>4</w:t>
      </w:r>
      <w:r>
        <w:rPr>
          <w:rFonts w:hint="default" w:ascii="Times New Roman" w:hAnsi="Times New Roman" w:cs="Times New Roman" w:eastAsiaTheme="minorEastAsia"/>
          <w:sz w:val="28"/>
          <w:szCs w:val="28"/>
          <w:lang w:val="en-US" w:eastAsia="zh-CN"/>
        </w:rPr>
        <w:t>年</w:t>
      </w:r>
      <w:r>
        <w:rPr>
          <w:rFonts w:hint="eastAsia" w:ascii="Times New Roman" w:hAnsi="Times New Roman" w:cs="Times New Roman" w:eastAsiaTheme="minorEastAsia"/>
          <w:sz w:val="28"/>
          <w:szCs w:val="28"/>
          <w:lang w:val="en-US" w:eastAsia="zh-CN"/>
        </w:rPr>
        <w:t>10</w:t>
      </w:r>
      <w:r>
        <w:rPr>
          <w:rFonts w:hint="default" w:ascii="Times New Roman" w:hAnsi="Times New Roman" w:cs="Times New Roman" w:eastAsiaTheme="minorEastAsia"/>
          <w:sz w:val="28"/>
          <w:szCs w:val="28"/>
          <w:lang w:val="en-US" w:eastAsia="zh-CN"/>
        </w:rPr>
        <w:t>月</w:t>
      </w:r>
      <w:r>
        <w:rPr>
          <w:rFonts w:hint="eastAsia" w:ascii="Times New Roman" w:hAnsi="Times New Roman" w:cs="Times New Roman" w:eastAsiaTheme="minorEastAsia"/>
          <w:sz w:val="28"/>
          <w:szCs w:val="28"/>
          <w:lang w:val="en-US" w:eastAsia="zh-CN"/>
        </w:rPr>
        <w:t>，编制组组织专家对标准中充换电柜安全技术内容</w:t>
      </w:r>
      <w:r>
        <w:rPr>
          <w:rFonts w:hint="eastAsia" w:ascii="Times New Roman" w:hAnsi="Times New Roman" w:cs="Times New Roman"/>
          <w:sz w:val="28"/>
          <w:szCs w:val="28"/>
          <w:lang w:val="en-US" w:eastAsia="zh-CN"/>
        </w:rPr>
        <w:t>再次进行整理</w:t>
      </w:r>
      <w:r>
        <w:rPr>
          <w:rFonts w:hint="eastAsia" w:ascii="Times New Roman" w:hAnsi="Times New Roman" w:cs="Times New Roman" w:eastAsiaTheme="minorEastAsia"/>
          <w:sz w:val="28"/>
          <w:szCs w:val="28"/>
          <w:lang w:val="en-US" w:eastAsia="zh-CN"/>
        </w:rPr>
        <w:t>，形成讨论稿。</w:t>
      </w:r>
    </w:p>
    <w:p w14:paraId="415E66E1">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Times New Roman" w:hAnsi="Times New Roman" w:cs="Times New Roman" w:eastAsiaTheme="minorEastAsia"/>
          <w:color w:val="0000FF"/>
          <w:sz w:val="28"/>
          <w:szCs w:val="28"/>
          <w:lang w:val="en-US" w:eastAsia="zh-CN"/>
        </w:rPr>
      </w:pPr>
      <w:r>
        <w:rPr>
          <w:rFonts w:hint="default" w:ascii="Times New Roman" w:hAnsi="Times New Roman" w:cs="Times New Roman" w:eastAsiaTheme="minorEastAsia"/>
          <w:sz w:val="28"/>
          <w:szCs w:val="28"/>
          <w:lang w:val="en-US" w:eastAsia="zh-CN"/>
        </w:rPr>
        <w:t>202</w:t>
      </w:r>
      <w:r>
        <w:rPr>
          <w:rFonts w:hint="eastAsia" w:ascii="Times New Roman" w:hAnsi="Times New Roman" w:cs="Times New Roman" w:eastAsiaTheme="minorEastAsia"/>
          <w:sz w:val="28"/>
          <w:szCs w:val="28"/>
          <w:lang w:val="en-US" w:eastAsia="zh-CN"/>
        </w:rPr>
        <w:t>4</w:t>
      </w:r>
      <w:r>
        <w:rPr>
          <w:rFonts w:hint="default" w:ascii="Times New Roman" w:hAnsi="Times New Roman" w:cs="Times New Roman" w:eastAsiaTheme="minorEastAsia"/>
          <w:sz w:val="28"/>
          <w:szCs w:val="28"/>
          <w:lang w:val="en-US" w:eastAsia="zh-CN"/>
        </w:rPr>
        <w:t>年</w:t>
      </w:r>
      <w:r>
        <w:rPr>
          <w:rFonts w:hint="eastAsia" w:ascii="Times New Roman" w:hAnsi="Times New Roman" w:cs="Times New Roman" w:eastAsiaTheme="minorEastAsia"/>
          <w:sz w:val="28"/>
          <w:szCs w:val="28"/>
          <w:lang w:val="en-US" w:eastAsia="zh-CN"/>
        </w:rPr>
        <w:t>11</w:t>
      </w:r>
      <w:r>
        <w:rPr>
          <w:rFonts w:hint="default" w:ascii="Times New Roman" w:hAnsi="Times New Roman" w:cs="Times New Roman" w:eastAsiaTheme="minorEastAsia"/>
          <w:sz w:val="28"/>
          <w:szCs w:val="28"/>
          <w:lang w:val="en-US" w:eastAsia="zh-CN"/>
        </w:rPr>
        <w:t>月</w:t>
      </w:r>
      <w:r>
        <w:rPr>
          <w:rFonts w:hint="eastAsia" w:ascii="Times New Roman" w:hAnsi="Times New Roman" w:cs="Times New Roman" w:eastAsiaTheme="minorEastAsia"/>
          <w:sz w:val="28"/>
          <w:szCs w:val="28"/>
          <w:lang w:val="en-US" w:eastAsia="zh-CN"/>
        </w:rPr>
        <w:t>，编制组</w:t>
      </w:r>
      <w:r>
        <w:rPr>
          <w:rFonts w:hint="eastAsia" w:ascii="Times New Roman" w:hAnsi="Times New Roman" w:cs="Times New Roman"/>
          <w:sz w:val="28"/>
          <w:szCs w:val="28"/>
          <w:lang w:val="en-US" w:eastAsia="zh-CN"/>
        </w:rPr>
        <w:t>赴</w:t>
      </w:r>
      <w:r>
        <w:rPr>
          <w:rFonts w:hint="eastAsia" w:ascii="Times New Roman" w:hAnsi="Times New Roman" w:cs="Times New Roman" w:eastAsiaTheme="minorEastAsia"/>
          <w:sz w:val="28"/>
          <w:szCs w:val="28"/>
          <w:lang w:val="en-US" w:eastAsia="zh-CN"/>
        </w:rPr>
        <w:t>南京、无锡、昆山等地，对生产经营单位</w:t>
      </w:r>
      <w:r>
        <w:rPr>
          <w:rFonts w:hint="eastAsia" w:ascii="Times New Roman" w:hAnsi="Times New Roman" w:cs="Times New Roman"/>
          <w:sz w:val="28"/>
          <w:szCs w:val="28"/>
          <w:lang w:val="en-US" w:eastAsia="zh-CN"/>
        </w:rPr>
        <w:t>中</w:t>
      </w:r>
      <w:r>
        <w:rPr>
          <w:rFonts w:hint="eastAsia" w:ascii="Times New Roman" w:hAnsi="Times New Roman" w:cs="Times New Roman" w:eastAsiaTheme="minorEastAsia"/>
          <w:sz w:val="28"/>
          <w:szCs w:val="28"/>
          <w:lang w:val="en-US" w:eastAsia="zh-CN"/>
        </w:rPr>
        <w:t>充换电柜场所进行</w:t>
      </w:r>
      <w:r>
        <w:rPr>
          <w:rFonts w:hint="eastAsia" w:ascii="Times New Roman" w:hAnsi="Times New Roman" w:cs="Times New Roman"/>
          <w:sz w:val="28"/>
          <w:szCs w:val="28"/>
          <w:lang w:val="en-US" w:eastAsia="zh-CN"/>
        </w:rPr>
        <w:t>实地调研</w:t>
      </w:r>
      <w:r>
        <w:rPr>
          <w:rFonts w:hint="eastAsia" w:ascii="Times New Roman" w:hAnsi="Times New Roman" w:cs="Times New Roman" w:eastAsiaTheme="minorEastAsia"/>
          <w:sz w:val="28"/>
          <w:szCs w:val="28"/>
          <w:lang w:val="en-US" w:eastAsia="zh-CN"/>
        </w:rPr>
        <w:t>，充分了解目前充换电柜的</w:t>
      </w:r>
      <w:r>
        <w:rPr>
          <w:rFonts w:hint="eastAsia" w:ascii="Times New Roman" w:hAnsi="Times New Roman" w:cs="Times New Roman"/>
          <w:sz w:val="28"/>
          <w:szCs w:val="28"/>
          <w:lang w:val="en-US" w:eastAsia="zh-CN"/>
        </w:rPr>
        <w:t>运行</w:t>
      </w:r>
      <w:r>
        <w:rPr>
          <w:rFonts w:hint="eastAsia" w:ascii="Times New Roman" w:hAnsi="Times New Roman" w:cs="Times New Roman" w:eastAsiaTheme="minorEastAsia"/>
          <w:sz w:val="28"/>
          <w:szCs w:val="28"/>
          <w:lang w:val="en-US" w:eastAsia="zh-CN"/>
        </w:rPr>
        <w:t>现状。</w:t>
      </w:r>
    </w:p>
    <w:p w14:paraId="70FC7A01">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default" w:ascii="Times New Roman" w:hAnsi="Times New Roman" w:cs="Times New Roman" w:eastAsiaTheme="minorEastAsia"/>
          <w:sz w:val="28"/>
          <w:szCs w:val="28"/>
          <w:lang w:val="en-US" w:eastAsia="zh-CN"/>
        </w:rPr>
      </w:pPr>
      <w:r>
        <w:rPr>
          <w:rFonts w:hint="eastAsia" w:ascii="Times New Roman" w:hAnsi="Times New Roman" w:cs="Times New Roman" w:eastAsiaTheme="minorEastAsia"/>
          <w:sz w:val="28"/>
          <w:szCs w:val="28"/>
          <w:lang w:val="en-US" w:eastAsia="zh-CN"/>
        </w:rPr>
        <w:t>2024年12月</w:t>
      </w:r>
      <w:r>
        <w:rPr>
          <w:rFonts w:hint="eastAsia" w:ascii="Times New Roman" w:hAnsi="Times New Roman" w:cs="Times New Roman"/>
          <w:sz w:val="28"/>
          <w:szCs w:val="28"/>
          <w:lang w:val="en-US" w:eastAsia="zh-CN"/>
        </w:rPr>
        <w:t>—</w:t>
      </w:r>
      <w:r>
        <w:rPr>
          <w:rFonts w:hint="default" w:ascii="Times New Roman" w:hAnsi="Times New Roman" w:cs="Times New Roman" w:eastAsiaTheme="minorEastAsia"/>
          <w:sz w:val="28"/>
          <w:szCs w:val="28"/>
          <w:lang w:val="en-US" w:eastAsia="zh-CN"/>
        </w:rPr>
        <w:t>202</w:t>
      </w:r>
      <w:r>
        <w:rPr>
          <w:rFonts w:hint="eastAsia" w:ascii="Times New Roman" w:hAnsi="Times New Roman" w:cs="Times New Roman" w:eastAsiaTheme="minorEastAsia"/>
          <w:sz w:val="28"/>
          <w:szCs w:val="28"/>
          <w:lang w:val="en-US" w:eastAsia="zh-CN"/>
        </w:rPr>
        <w:t>5</w:t>
      </w:r>
      <w:r>
        <w:rPr>
          <w:rFonts w:hint="default" w:ascii="Times New Roman" w:hAnsi="Times New Roman" w:cs="Times New Roman" w:eastAsiaTheme="minorEastAsia"/>
          <w:sz w:val="28"/>
          <w:szCs w:val="28"/>
          <w:lang w:val="en-US" w:eastAsia="zh-CN"/>
        </w:rPr>
        <w:t>年</w:t>
      </w:r>
      <w:r>
        <w:rPr>
          <w:rFonts w:hint="eastAsia" w:ascii="Times New Roman" w:hAnsi="Times New Roman" w:cs="Times New Roman"/>
          <w:sz w:val="28"/>
          <w:szCs w:val="28"/>
          <w:lang w:val="en-US" w:eastAsia="zh-CN"/>
        </w:rPr>
        <w:t>2</w:t>
      </w:r>
      <w:r>
        <w:rPr>
          <w:rFonts w:hint="default" w:ascii="Times New Roman" w:hAnsi="Times New Roman" w:cs="Times New Roman" w:eastAsiaTheme="minorEastAsia"/>
          <w:sz w:val="28"/>
          <w:szCs w:val="28"/>
          <w:lang w:val="en-US" w:eastAsia="zh-CN"/>
        </w:rPr>
        <w:t>月</w:t>
      </w:r>
      <w:r>
        <w:rPr>
          <w:rFonts w:hint="eastAsia" w:ascii="Times New Roman" w:hAnsi="Times New Roman" w:cs="Times New Roman" w:eastAsiaTheme="minorEastAsia"/>
          <w:sz w:val="28"/>
          <w:szCs w:val="28"/>
          <w:lang w:val="en-US" w:eastAsia="zh-CN"/>
        </w:rPr>
        <w:t>，编制组组织参编单位对讨论稿进行多次讨论、修改，形成征求意见稿。</w:t>
      </w:r>
    </w:p>
    <w:p w14:paraId="42113BF9">
      <w:pPr>
        <w:keepNext w:val="0"/>
        <w:keepLines w:val="0"/>
        <w:pageBreakBefore w:val="0"/>
        <w:widowControl w:val="0"/>
        <w:numPr>
          <w:ilvl w:val="0"/>
          <w:numId w:val="2"/>
        </w:numPr>
        <w:kinsoku/>
        <w:wordWrap/>
        <w:topLinePunct w:val="0"/>
        <w:bidi w:val="0"/>
        <w:spacing w:line="560" w:lineRule="exact"/>
        <w:ind w:firstLine="640" w:firstLineChars="200"/>
        <w:contextualSpacing/>
        <w:textAlignment w:val="auto"/>
        <w:rPr>
          <w:rFonts w:hint="default" w:ascii="Times New Roman" w:hAnsi="Times New Roman" w:eastAsia="黑体" w:cs="Times New Roman"/>
          <w:sz w:val="32"/>
          <w:szCs w:val="32"/>
          <w:lang w:val="en-US" w:eastAsia="zh-CN"/>
        </w:rPr>
      </w:pPr>
      <w:bookmarkStart w:id="14" w:name="_Toc31586_WPSOffice_Level1"/>
      <w:bookmarkStart w:id="15" w:name="_Toc24993"/>
      <w:bookmarkStart w:id="16" w:name="_Toc16648"/>
      <w:r>
        <w:rPr>
          <w:rFonts w:hint="default" w:ascii="Times New Roman" w:hAnsi="Times New Roman" w:eastAsia="黑体" w:cs="Times New Roman"/>
          <w:sz w:val="32"/>
          <w:szCs w:val="32"/>
          <w:lang w:val="en-US" w:eastAsia="zh-CN"/>
        </w:rPr>
        <w:t>主要内容技术指标确立</w:t>
      </w:r>
      <w:bookmarkEnd w:id="14"/>
      <w:bookmarkEnd w:id="15"/>
      <w:bookmarkEnd w:id="16"/>
    </w:p>
    <w:p w14:paraId="75385634">
      <w:pPr>
        <w:keepNext w:val="0"/>
        <w:keepLines w:val="0"/>
        <w:pageBreakBefore w:val="0"/>
        <w:widowControl w:val="0"/>
        <w:kinsoku/>
        <w:wordWrap/>
        <w:overflowPunct/>
        <w:topLinePunct w:val="0"/>
        <w:autoSpaceDE/>
        <w:autoSpaceDN/>
        <w:bidi w:val="0"/>
        <w:adjustRightInd/>
        <w:snapToGrid/>
        <w:spacing w:line="560" w:lineRule="exact"/>
        <w:ind w:firstLine="560" w:firstLineChars="200"/>
        <w:textAlignment w:val="auto"/>
        <w:outlineLvl w:val="9"/>
        <w:rPr>
          <w:rFonts w:hint="eastAsia" w:ascii="楷体" w:hAnsi="楷体" w:eastAsia="楷体" w:cs="楷体"/>
          <w:kern w:val="0"/>
          <w:sz w:val="28"/>
          <w:szCs w:val="28"/>
          <w:lang w:val="en-US" w:eastAsia="zh-CN"/>
        </w:rPr>
      </w:pPr>
      <w:r>
        <w:rPr>
          <w:rFonts w:hint="eastAsia" w:ascii="楷体" w:hAnsi="楷体" w:eastAsia="楷体" w:cs="楷体"/>
          <w:kern w:val="0"/>
          <w:sz w:val="28"/>
          <w:szCs w:val="28"/>
          <w:lang w:val="en-US" w:eastAsia="zh-CN"/>
        </w:rPr>
        <w:t>（一）标准编制原则</w:t>
      </w:r>
    </w:p>
    <w:p w14:paraId="42976168">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default" w:ascii="Times New Roman" w:hAnsi="Times New Roman" w:cs="Times New Roman" w:eastAsiaTheme="minorEastAsia"/>
          <w:sz w:val="28"/>
          <w:szCs w:val="28"/>
          <w:lang w:val="en-US" w:eastAsia="zh-CN"/>
        </w:rPr>
      </w:pPr>
      <w:r>
        <w:rPr>
          <w:rFonts w:hint="eastAsia" w:ascii="Times New Roman" w:hAnsi="Times New Roman" w:cs="Times New Roman"/>
          <w:sz w:val="28"/>
          <w:szCs w:val="28"/>
          <w:lang w:val="en-US" w:eastAsia="zh-CN"/>
        </w:rPr>
        <w:t>1.</w:t>
      </w:r>
      <w:r>
        <w:rPr>
          <w:rFonts w:hint="default" w:ascii="Times New Roman" w:hAnsi="Times New Roman" w:cs="Times New Roman" w:eastAsiaTheme="minorEastAsia"/>
          <w:sz w:val="28"/>
          <w:szCs w:val="28"/>
          <w:lang w:val="en-US" w:eastAsia="zh-CN"/>
        </w:rPr>
        <w:t>规范性</w:t>
      </w:r>
    </w:p>
    <w:p w14:paraId="33699261">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default" w:ascii="Times New Roman" w:hAnsi="Times New Roman" w:cs="Times New Roman" w:eastAsiaTheme="minorEastAsia"/>
          <w:sz w:val="28"/>
          <w:szCs w:val="28"/>
          <w:lang w:val="en-US" w:eastAsia="zh-CN"/>
        </w:rPr>
      </w:pPr>
      <w:r>
        <w:rPr>
          <w:rFonts w:hint="default" w:ascii="Times New Roman" w:hAnsi="Times New Roman" w:cs="Times New Roman" w:eastAsiaTheme="minorEastAsia"/>
          <w:sz w:val="28"/>
          <w:szCs w:val="28"/>
          <w:lang w:val="en-US" w:eastAsia="zh-CN"/>
        </w:rPr>
        <w:t>标准</w:t>
      </w:r>
      <w:r>
        <w:rPr>
          <w:rFonts w:hint="eastAsia" w:ascii="Times New Roman" w:hAnsi="Times New Roman" w:cs="Times New Roman"/>
          <w:sz w:val="28"/>
          <w:szCs w:val="28"/>
          <w:lang w:val="en-US" w:eastAsia="zh-CN"/>
        </w:rPr>
        <w:t>按照</w:t>
      </w:r>
      <w:r>
        <w:rPr>
          <w:rFonts w:hint="default" w:ascii="Times New Roman" w:hAnsi="Times New Roman" w:cs="Times New Roman" w:eastAsiaTheme="minorEastAsia"/>
          <w:sz w:val="28"/>
          <w:szCs w:val="28"/>
          <w:lang w:val="en-US" w:eastAsia="zh-CN"/>
        </w:rPr>
        <w:t>国家和地区的法律法规和政策要求，遵循国家标准GB/T 1.1-2020《标准化工作导则 第1部分：标准化文件的结构和起草规则》编制。</w:t>
      </w:r>
    </w:p>
    <w:p w14:paraId="6DD5C144">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default" w:ascii="Times New Roman" w:hAnsi="Times New Roman" w:cs="Times New Roman" w:eastAsiaTheme="minorEastAsia"/>
          <w:sz w:val="28"/>
          <w:szCs w:val="28"/>
          <w:lang w:val="en-US" w:eastAsia="zh-CN"/>
        </w:rPr>
      </w:pPr>
      <w:r>
        <w:rPr>
          <w:rFonts w:hint="eastAsia" w:ascii="Times New Roman" w:hAnsi="Times New Roman" w:cs="Times New Roman"/>
          <w:sz w:val="28"/>
          <w:szCs w:val="28"/>
          <w:lang w:val="en-US" w:eastAsia="zh-CN"/>
        </w:rPr>
        <w:t>2.</w:t>
      </w:r>
      <w:r>
        <w:rPr>
          <w:rFonts w:hint="default" w:ascii="Times New Roman" w:hAnsi="Times New Roman" w:cs="Times New Roman" w:eastAsiaTheme="minorEastAsia"/>
          <w:sz w:val="28"/>
          <w:szCs w:val="28"/>
          <w:lang w:val="en-US" w:eastAsia="zh-CN"/>
        </w:rPr>
        <w:t>科学性</w:t>
      </w:r>
    </w:p>
    <w:p w14:paraId="1FC212AA">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default" w:ascii="Times New Roman" w:hAnsi="Times New Roman" w:cs="Times New Roman" w:eastAsiaTheme="minorEastAsia"/>
          <w:sz w:val="28"/>
          <w:szCs w:val="28"/>
          <w:lang w:val="en-US" w:eastAsia="zh-CN"/>
        </w:rPr>
      </w:pPr>
      <w:r>
        <w:rPr>
          <w:rFonts w:hint="default" w:ascii="Times New Roman" w:hAnsi="Times New Roman" w:cs="Times New Roman" w:eastAsiaTheme="minorEastAsia"/>
          <w:sz w:val="28"/>
          <w:szCs w:val="28"/>
          <w:lang w:val="en-US" w:eastAsia="zh-CN"/>
        </w:rPr>
        <w:t>标准基于科学研究和实践经验，以建设完成的充换电</w:t>
      </w:r>
      <w:r>
        <w:rPr>
          <w:rFonts w:hint="eastAsia" w:ascii="Times New Roman" w:hAnsi="Times New Roman" w:cs="Times New Roman" w:eastAsiaTheme="minorEastAsia"/>
          <w:sz w:val="28"/>
          <w:szCs w:val="28"/>
          <w:lang w:val="en-US" w:eastAsia="zh-CN"/>
        </w:rPr>
        <w:t>柜</w:t>
      </w:r>
      <w:r>
        <w:rPr>
          <w:rFonts w:hint="default" w:ascii="Times New Roman" w:hAnsi="Times New Roman" w:cs="Times New Roman" w:eastAsiaTheme="minorEastAsia"/>
          <w:sz w:val="28"/>
          <w:szCs w:val="28"/>
          <w:lang w:val="en-US" w:eastAsia="zh-CN"/>
        </w:rPr>
        <w:t>为基础，通过总结分析存在的问题、成功的经验，充分采纳行业内专家意见，科学合理</w:t>
      </w:r>
      <w:r>
        <w:rPr>
          <w:rFonts w:hint="eastAsia" w:ascii="Times New Roman" w:hAnsi="Times New Roman" w:cs="Times New Roman"/>
          <w:sz w:val="28"/>
          <w:szCs w:val="28"/>
          <w:lang w:val="en-US" w:eastAsia="zh-CN"/>
        </w:rPr>
        <w:t>编制</w:t>
      </w:r>
      <w:r>
        <w:rPr>
          <w:rFonts w:hint="default" w:ascii="Times New Roman" w:hAnsi="Times New Roman" w:cs="Times New Roman" w:eastAsiaTheme="minorEastAsia"/>
          <w:sz w:val="28"/>
          <w:szCs w:val="28"/>
          <w:lang w:val="en-US" w:eastAsia="zh-CN"/>
        </w:rPr>
        <w:t>。</w:t>
      </w:r>
    </w:p>
    <w:p w14:paraId="727F272D">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default" w:ascii="Times New Roman" w:hAnsi="Times New Roman" w:cs="Times New Roman" w:eastAsiaTheme="minorEastAsia"/>
          <w:sz w:val="28"/>
          <w:szCs w:val="28"/>
          <w:lang w:val="en-US" w:eastAsia="zh-CN"/>
        </w:rPr>
      </w:pPr>
      <w:r>
        <w:rPr>
          <w:rFonts w:hint="eastAsia" w:ascii="Times New Roman" w:hAnsi="Times New Roman" w:cs="Times New Roman"/>
          <w:sz w:val="28"/>
          <w:szCs w:val="28"/>
          <w:lang w:val="en-US" w:eastAsia="zh-CN"/>
        </w:rPr>
        <w:t>3.</w:t>
      </w:r>
      <w:r>
        <w:rPr>
          <w:rFonts w:hint="default" w:ascii="Times New Roman" w:hAnsi="Times New Roman" w:cs="Times New Roman" w:eastAsiaTheme="minorEastAsia"/>
          <w:sz w:val="28"/>
          <w:szCs w:val="28"/>
          <w:lang w:val="en-US" w:eastAsia="zh-CN"/>
        </w:rPr>
        <w:t>协调性</w:t>
      </w:r>
    </w:p>
    <w:p w14:paraId="16E369C3">
      <w:pPr>
        <w:pStyle w:val="16"/>
        <w:spacing w:after="0" w:line="240" w:lineRule="auto"/>
        <w:ind w:firstLine="420"/>
        <w:rPr>
          <w:rFonts w:hint="default" w:ascii="Times New Roman" w:hAnsi="Times New Roman" w:cs="Times New Roman" w:eastAsiaTheme="minorEastAsia"/>
          <w:sz w:val="28"/>
          <w:szCs w:val="28"/>
          <w:lang w:val="en-US" w:eastAsia="zh-CN"/>
        </w:rPr>
      </w:pPr>
      <w:r>
        <w:rPr>
          <w:rFonts w:hint="default" w:ascii="Times New Roman" w:hAnsi="Times New Roman" w:cs="Times New Roman" w:eastAsiaTheme="minorEastAsia"/>
          <w:sz w:val="28"/>
          <w:szCs w:val="28"/>
          <w:lang w:val="en-US" w:eastAsia="zh-CN"/>
        </w:rPr>
        <w:t>遵守现有基础标准的有关条款，本标准中的术语及内容与GB</w:t>
      </w:r>
      <w:r>
        <w:rPr>
          <w:rFonts w:hint="eastAsia" w:ascii="Times New Roman" w:hAnsi="Times New Roman" w:cs="Times New Roman"/>
          <w:sz w:val="28"/>
          <w:szCs w:val="28"/>
          <w:lang w:val="en-US" w:eastAsia="zh-CN"/>
        </w:rPr>
        <w:t>/</w:t>
      </w:r>
      <w:r>
        <w:rPr>
          <w:rFonts w:hint="default" w:ascii="Times New Roman" w:hAnsi="Times New Roman" w:cs="Times New Roman" w:eastAsiaTheme="minorEastAsia"/>
          <w:sz w:val="28"/>
          <w:szCs w:val="28"/>
          <w:lang w:val="en-US" w:eastAsia="zh-CN"/>
        </w:rPr>
        <w:t>T</w:t>
      </w:r>
      <w:r>
        <w:rPr>
          <w:rFonts w:hint="eastAsia" w:ascii="Times New Roman" w:hAnsi="Times New Roman" w:cs="Times New Roman"/>
          <w:sz w:val="28"/>
          <w:szCs w:val="28"/>
          <w:lang w:val="en-US" w:eastAsia="zh-CN"/>
        </w:rPr>
        <w:t xml:space="preserve"> </w:t>
      </w:r>
      <w:r>
        <w:rPr>
          <w:rFonts w:hint="default" w:ascii="Times New Roman" w:hAnsi="Times New Roman" w:cs="Times New Roman" w:eastAsiaTheme="minorEastAsia"/>
          <w:sz w:val="28"/>
          <w:szCs w:val="28"/>
          <w:lang w:val="en-US" w:eastAsia="zh-CN"/>
        </w:rPr>
        <w:t>42236.1</w:t>
      </w:r>
      <w:r>
        <w:rPr>
          <w:rFonts w:hint="eastAsia" w:ascii="Times New Roman" w:hAnsi="Times New Roman" w:cs="Times New Roman" w:eastAsiaTheme="minorEastAsia"/>
          <w:sz w:val="28"/>
          <w:szCs w:val="28"/>
          <w:lang w:val="en-US" w:eastAsia="zh-CN"/>
        </w:rPr>
        <w:t>－</w:t>
      </w:r>
      <w:r>
        <w:rPr>
          <w:rFonts w:hint="default" w:ascii="Times New Roman" w:hAnsi="Times New Roman" w:cs="Times New Roman" w:eastAsiaTheme="minorEastAsia"/>
          <w:sz w:val="28"/>
          <w:szCs w:val="28"/>
          <w:lang w:val="en-US" w:eastAsia="zh-CN"/>
        </w:rPr>
        <w:t>2022</w:t>
      </w:r>
      <w:r>
        <w:rPr>
          <w:rFonts w:hint="eastAsia" w:ascii="Times New Roman" w:hAnsi="Times New Roman" w:cs="Times New Roman" w:eastAsiaTheme="minorEastAsia"/>
          <w:sz w:val="28"/>
          <w:szCs w:val="28"/>
          <w:lang w:val="en-US" w:eastAsia="zh-CN"/>
        </w:rPr>
        <w:t>《</w:t>
      </w:r>
      <w:r>
        <w:rPr>
          <w:rFonts w:hint="default" w:ascii="Times New Roman" w:hAnsi="Times New Roman" w:cs="Times New Roman" w:eastAsiaTheme="minorEastAsia"/>
          <w:sz w:val="28"/>
          <w:szCs w:val="28"/>
          <w:lang w:val="en-US" w:eastAsia="zh-CN"/>
        </w:rPr>
        <w:t>电动自行车集中充电设施 第1部分：技术</w:t>
      </w:r>
      <w:r>
        <w:rPr>
          <w:rFonts w:hint="eastAsia" w:ascii="Times New Roman" w:hAnsi="Times New Roman" w:cs="Times New Roman" w:eastAsiaTheme="minorEastAsia"/>
          <w:sz w:val="28"/>
          <w:szCs w:val="28"/>
          <w:lang w:val="en-US" w:eastAsia="zh-CN"/>
        </w:rPr>
        <w:t>规范》</w:t>
      </w:r>
      <w:r>
        <w:rPr>
          <w:rFonts w:hint="default" w:ascii="Times New Roman" w:hAnsi="Times New Roman" w:cs="Times New Roman" w:eastAsiaTheme="minorEastAsia"/>
          <w:sz w:val="28"/>
          <w:szCs w:val="28"/>
          <w:lang w:val="en-US" w:eastAsia="zh-CN"/>
        </w:rPr>
        <w:t>、</w:t>
      </w:r>
      <w:r>
        <w:rPr>
          <w:rFonts w:hint="eastAsia" w:ascii="Times New Roman" w:hAnsi="Times New Roman" w:cs="Times New Roman" w:eastAsiaTheme="minorEastAsia"/>
          <w:sz w:val="28"/>
          <w:szCs w:val="28"/>
          <w:lang w:val="en-US" w:eastAsia="zh-CN"/>
        </w:rPr>
        <w:t>NB/T 10690-2021《电动助力车用蓄电池充（换）电设备技术规范 第2部分 充（换）电柜》</w:t>
      </w:r>
      <w:r>
        <w:rPr>
          <w:rFonts w:hint="default" w:ascii="Times New Roman" w:hAnsi="Times New Roman" w:cs="Times New Roman" w:eastAsiaTheme="minorEastAsia"/>
          <w:sz w:val="28"/>
          <w:szCs w:val="28"/>
          <w:lang w:val="en-US" w:eastAsia="zh-CN"/>
        </w:rPr>
        <w:t>等相关标准相互协调，保持</w:t>
      </w:r>
      <w:r>
        <w:rPr>
          <w:rFonts w:hint="eastAsia" w:ascii="Times New Roman" w:hAnsi="Times New Roman" w:cs="Times New Roman"/>
          <w:sz w:val="28"/>
          <w:szCs w:val="28"/>
          <w:lang w:val="en-US" w:eastAsia="zh-CN"/>
        </w:rPr>
        <w:t>不同</w:t>
      </w:r>
      <w:r>
        <w:rPr>
          <w:rFonts w:hint="default" w:ascii="Times New Roman" w:hAnsi="Times New Roman" w:cs="Times New Roman" w:eastAsiaTheme="minorEastAsia"/>
          <w:sz w:val="28"/>
          <w:szCs w:val="28"/>
          <w:lang w:val="en-US" w:eastAsia="zh-CN"/>
        </w:rPr>
        <w:t>标准间</w:t>
      </w:r>
      <w:r>
        <w:rPr>
          <w:rFonts w:hint="eastAsia" w:ascii="Times New Roman" w:hAnsi="Times New Roman" w:cs="Times New Roman"/>
          <w:sz w:val="28"/>
          <w:szCs w:val="28"/>
          <w:lang w:val="en-US" w:eastAsia="zh-CN"/>
        </w:rPr>
        <w:t>表述</w:t>
      </w:r>
      <w:r>
        <w:rPr>
          <w:rFonts w:hint="default" w:ascii="Times New Roman" w:hAnsi="Times New Roman" w:cs="Times New Roman" w:eastAsiaTheme="minorEastAsia"/>
          <w:sz w:val="28"/>
          <w:szCs w:val="28"/>
          <w:lang w:val="en-US" w:eastAsia="zh-CN"/>
        </w:rPr>
        <w:t>的一致性，避免地方标准与行业标准和国家标准之间的冲突和矛盾。</w:t>
      </w:r>
    </w:p>
    <w:p w14:paraId="5F5F820D">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default" w:ascii="Times New Roman" w:hAnsi="Times New Roman" w:cs="Times New Roman" w:eastAsiaTheme="minorEastAsia"/>
          <w:sz w:val="28"/>
          <w:szCs w:val="28"/>
          <w:lang w:val="en-US" w:eastAsia="zh-CN"/>
        </w:rPr>
      </w:pPr>
      <w:r>
        <w:rPr>
          <w:rFonts w:hint="eastAsia" w:ascii="Times New Roman" w:hAnsi="Times New Roman" w:cs="Times New Roman"/>
          <w:sz w:val="28"/>
          <w:szCs w:val="28"/>
          <w:lang w:val="en-US" w:eastAsia="zh-CN"/>
        </w:rPr>
        <w:t>4.</w:t>
      </w:r>
      <w:r>
        <w:rPr>
          <w:rFonts w:hint="default" w:ascii="Times New Roman" w:hAnsi="Times New Roman" w:cs="Times New Roman" w:eastAsiaTheme="minorEastAsia"/>
          <w:sz w:val="28"/>
          <w:szCs w:val="28"/>
          <w:lang w:val="en-US" w:eastAsia="zh-CN"/>
        </w:rPr>
        <w:t>可操作性</w:t>
      </w:r>
    </w:p>
    <w:p w14:paraId="5AA9137A">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default" w:ascii="Times New Roman" w:hAnsi="Times New Roman" w:cs="Times New Roman" w:eastAsiaTheme="minorEastAsia"/>
          <w:sz w:val="28"/>
          <w:szCs w:val="28"/>
          <w:lang w:val="en-US" w:eastAsia="zh-CN"/>
        </w:rPr>
      </w:pPr>
      <w:r>
        <w:rPr>
          <w:rFonts w:hint="default" w:ascii="Times New Roman" w:hAnsi="Times New Roman" w:cs="Times New Roman" w:eastAsiaTheme="minorEastAsia"/>
          <w:sz w:val="28"/>
          <w:szCs w:val="28"/>
          <w:lang w:val="en-US" w:eastAsia="zh-CN"/>
        </w:rPr>
        <w:t>在坚持标准</w:t>
      </w:r>
      <w:r>
        <w:rPr>
          <w:rFonts w:hint="eastAsia" w:ascii="Times New Roman" w:hAnsi="Times New Roman" w:cs="Times New Roman"/>
          <w:sz w:val="28"/>
          <w:szCs w:val="28"/>
          <w:lang w:val="en-US" w:eastAsia="zh-CN"/>
        </w:rPr>
        <w:t>科学</w:t>
      </w:r>
      <w:r>
        <w:rPr>
          <w:rFonts w:hint="default" w:ascii="Times New Roman" w:hAnsi="Times New Roman" w:cs="Times New Roman" w:eastAsiaTheme="minorEastAsia"/>
          <w:sz w:val="28"/>
          <w:szCs w:val="28"/>
          <w:lang w:val="en-US" w:eastAsia="zh-CN"/>
        </w:rPr>
        <w:t>性的同时，充分考虑标准的可操作性。编制过程中，对有关概念、定义和论证等内容的叙述尽可能清楚确切，便于直接使用和引用，确保标准的广泛适用性和操作性。</w:t>
      </w:r>
    </w:p>
    <w:p w14:paraId="7A98874A">
      <w:pPr>
        <w:keepNext w:val="0"/>
        <w:keepLines w:val="0"/>
        <w:pageBreakBefore w:val="0"/>
        <w:widowControl w:val="0"/>
        <w:numPr>
          <w:ilvl w:val="0"/>
          <w:numId w:val="3"/>
        </w:numPr>
        <w:kinsoku/>
        <w:wordWrap/>
        <w:overflowPunct w:val="0"/>
        <w:topLinePunct w:val="0"/>
        <w:autoSpaceDE w:val="0"/>
        <w:autoSpaceDN w:val="0"/>
        <w:bidi w:val="0"/>
        <w:adjustRightInd w:val="0"/>
        <w:snapToGrid w:val="0"/>
        <w:spacing w:line="560" w:lineRule="exact"/>
        <w:ind w:firstLine="560" w:firstLineChars="200"/>
        <w:textAlignment w:val="auto"/>
        <w:outlineLvl w:val="2"/>
        <w:rPr>
          <w:rFonts w:hint="default" w:ascii="Times New Roman" w:hAnsi="Times New Roman" w:eastAsia="楷体_GB2312" w:cs="Times New Roman"/>
          <w:color w:val="000000" w:themeColor="text1"/>
          <w:sz w:val="28"/>
          <w:szCs w:val="28"/>
          <w:lang w:val="en-US" w:eastAsia="zh-CN"/>
          <w14:textFill>
            <w14:solidFill>
              <w14:schemeClr w14:val="tx1"/>
            </w14:solidFill>
          </w14:textFill>
        </w:rPr>
      </w:pPr>
      <w:r>
        <w:rPr>
          <w:rFonts w:hint="default" w:ascii="Times New Roman" w:hAnsi="Times New Roman" w:eastAsia="楷体_GB2312" w:cs="Times New Roman"/>
          <w:color w:val="000000" w:themeColor="text1"/>
          <w:sz w:val="28"/>
          <w:szCs w:val="28"/>
          <w:lang w:val="en-US" w:eastAsia="zh-CN"/>
          <w14:textFill>
            <w14:solidFill>
              <w14:schemeClr w14:val="tx1"/>
            </w14:solidFill>
          </w14:textFill>
        </w:rPr>
        <w:t>标准主要内容的确定依据</w:t>
      </w:r>
    </w:p>
    <w:p w14:paraId="52E6CE6F">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default" w:ascii="Times New Roman" w:hAnsi="Times New Roman" w:cs="Times New Roman" w:eastAsiaTheme="minorEastAsia"/>
          <w:sz w:val="28"/>
          <w:szCs w:val="28"/>
          <w:lang w:val="en-US" w:eastAsia="zh-CN"/>
        </w:rPr>
      </w:pPr>
      <w:r>
        <w:rPr>
          <w:rFonts w:hint="default" w:ascii="Times New Roman" w:hAnsi="Times New Roman" w:cs="Times New Roman" w:eastAsiaTheme="minorEastAsia"/>
          <w:sz w:val="28"/>
          <w:szCs w:val="28"/>
          <w:lang w:val="en-US" w:eastAsia="zh-CN"/>
        </w:rPr>
        <w:t>本</w:t>
      </w:r>
      <w:r>
        <w:rPr>
          <w:rFonts w:hint="eastAsia" w:ascii="Times New Roman" w:hAnsi="Times New Roman" w:cs="Times New Roman" w:eastAsiaTheme="minorEastAsia"/>
          <w:sz w:val="28"/>
          <w:szCs w:val="28"/>
          <w:lang w:val="en-US" w:eastAsia="zh-CN"/>
        </w:rPr>
        <w:t>文件</w:t>
      </w:r>
      <w:r>
        <w:rPr>
          <w:rFonts w:hint="default" w:ascii="Times New Roman" w:hAnsi="Times New Roman" w:cs="Times New Roman" w:eastAsiaTheme="minorEastAsia"/>
          <w:sz w:val="28"/>
          <w:szCs w:val="28"/>
          <w:lang w:val="en-US" w:eastAsia="zh-CN"/>
        </w:rPr>
        <w:t>结合GBT42236.1《电动自行车集中充电设施 第1部分：技术规范》《江苏省电动自行车管理条例》</w:t>
      </w:r>
      <w:r>
        <w:rPr>
          <w:rFonts w:hint="eastAsia" w:ascii="Times New Roman" w:hAnsi="Times New Roman" w:cs="Times New Roman"/>
          <w:b w:val="0"/>
          <w:i w:val="0"/>
          <w:sz w:val="28"/>
          <w:szCs w:val="28"/>
          <w:lang w:eastAsia="zh-CN"/>
        </w:rPr>
        <w:t>《</w:t>
      </w:r>
      <w:r>
        <w:rPr>
          <w:rFonts w:ascii="Times New Roman" w:hAnsi="Times New Roman" w:cs="Times New Roman" w:eastAsiaTheme="minorEastAsia"/>
          <w:b w:val="0"/>
          <w:i w:val="0"/>
          <w:sz w:val="28"/>
          <w:szCs w:val="28"/>
        </w:rPr>
        <w:t>电动自行车充换电柜技术规范</w:t>
      </w:r>
      <w:r>
        <w:rPr>
          <w:rFonts w:hint="eastAsia" w:ascii="Times New Roman" w:hAnsi="Times New Roman" w:cs="Times New Roman"/>
          <w:b w:val="0"/>
          <w:i w:val="0"/>
          <w:sz w:val="28"/>
          <w:szCs w:val="28"/>
          <w:lang w:eastAsia="zh-CN"/>
        </w:rPr>
        <w:t>》</w:t>
      </w:r>
      <w:r>
        <w:rPr>
          <w:rFonts w:hint="eastAsia" w:ascii="Times New Roman" w:hAnsi="Times New Roman" w:cs="Times New Roman" w:eastAsiaTheme="minorEastAsia"/>
          <w:sz w:val="28"/>
          <w:szCs w:val="28"/>
          <w:lang w:val="en-US" w:eastAsia="zh-CN"/>
        </w:rPr>
        <w:t>等</w:t>
      </w:r>
      <w:r>
        <w:rPr>
          <w:rFonts w:hint="default" w:ascii="Times New Roman" w:hAnsi="Times New Roman" w:cs="Times New Roman" w:eastAsiaTheme="minorEastAsia"/>
          <w:sz w:val="28"/>
          <w:szCs w:val="28"/>
          <w:lang w:val="en-US" w:eastAsia="zh-CN"/>
        </w:rPr>
        <w:t>，将电动自行车</w:t>
      </w:r>
      <w:r>
        <w:rPr>
          <w:rFonts w:hint="eastAsia" w:ascii="Times New Roman" w:hAnsi="Times New Roman" w:cs="Times New Roman" w:eastAsiaTheme="minorEastAsia"/>
          <w:sz w:val="28"/>
          <w:szCs w:val="28"/>
          <w:lang w:val="en-US" w:eastAsia="zh-CN"/>
        </w:rPr>
        <w:t>锂离子电池充换电柜</w:t>
      </w:r>
      <w:r>
        <w:rPr>
          <w:rFonts w:hint="default" w:ascii="Times New Roman" w:hAnsi="Times New Roman" w:cs="Times New Roman" w:eastAsiaTheme="minorEastAsia"/>
          <w:sz w:val="28"/>
          <w:szCs w:val="28"/>
          <w:lang w:val="en-US" w:eastAsia="zh-CN"/>
        </w:rPr>
        <w:t>安全形成地方标准，确保</w:t>
      </w:r>
      <w:r>
        <w:rPr>
          <w:rFonts w:hint="eastAsia" w:ascii="Times New Roman" w:hAnsi="Times New Roman" w:cs="Times New Roman" w:eastAsiaTheme="minorEastAsia"/>
          <w:sz w:val="28"/>
          <w:szCs w:val="28"/>
          <w:lang w:val="en-US" w:eastAsia="zh-CN"/>
        </w:rPr>
        <w:t>省内</w:t>
      </w:r>
      <w:r>
        <w:rPr>
          <w:rFonts w:hint="default" w:ascii="Times New Roman" w:hAnsi="Times New Roman" w:cs="Times New Roman" w:eastAsiaTheme="minorEastAsia"/>
          <w:sz w:val="28"/>
          <w:szCs w:val="28"/>
          <w:lang w:val="en-US" w:eastAsia="zh-CN"/>
        </w:rPr>
        <w:t>电动自行车</w:t>
      </w:r>
      <w:r>
        <w:rPr>
          <w:rFonts w:hint="eastAsia" w:ascii="Times New Roman" w:hAnsi="Times New Roman" w:cs="Times New Roman" w:eastAsiaTheme="minorEastAsia"/>
          <w:sz w:val="28"/>
          <w:szCs w:val="28"/>
          <w:lang w:val="en-US" w:eastAsia="zh-CN"/>
        </w:rPr>
        <w:t>锂离子电池充换电柜</w:t>
      </w:r>
      <w:r>
        <w:rPr>
          <w:rFonts w:hint="default" w:ascii="Times New Roman" w:hAnsi="Times New Roman" w:cs="Times New Roman" w:eastAsiaTheme="minorEastAsia"/>
          <w:sz w:val="28"/>
          <w:szCs w:val="28"/>
          <w:lang w:val="en-US" w:eastAsia="zh-CN"/>
        </w:rPr>
        <w:t>安全。</w:t>
      </w:r>
    </w:p>
    <w:p w14:paraId="5735D568">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left="0" w:leftChars="0" w:firstLine="560" w:firstLineChars="200"/>
        <w:contextualSpacing/>
        <w:textAlignment w:val="auto"/>
        <w:rPr>
          <w:rFonts w:hint="default" w:ascii="Times New Roman" w:hAnsi="Times New Roman" w:eastAsia="楷体_GB2312" w:cs="Times New Roman"/>
          <w:color w:val="000000" w:themeColor="text1"/>
          <w:sz w:val="28"/>
          <w:szCs w:val="28"/>
          <w:lang w:val="en-US" w:eastAsia="zh-CN"/>
          <w14:textFill>
            <w14:solidFill>
              <w14:schemeClr w14:val="tx1"/>
            </w14:solidFill>
          </w14:textFill>
        </w:rPr>
      </w:pPr>
      <w:r>
        <w:rPr>
          <w:rFonts w:hint="default" w:ascii="Times New Roman" w:hAnsi="Times New Roman" w:eastAsia="楷体_GB2312" w:cs="Times New Roman"/>
          <w:color w:val="000000" w:themeColor="text1"/>
          <w:sz w:val="28"/>
          <w:szCs w:val="28"/>
          <w:lang w:val="en-US" w:eastAsia="zh-CN"/>
          <w14:textFill>
            <w14:solidFill>
              <w14:schemeClr w14:val="tx1"/>
            </w14:solidFill>
          </w14:textFill>
        </w:rPr>
        <w:t>主要内容说明</w:t>
      </w:r>
    </w:p>
    <w:p w14:paraId="7D9D0F89">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Times New Roman" w:hAnsi="Times New Roman" w:cs="Times New Roman" w:eastAsiaTheme="minorEastAsia"/>
          <w:sz w:val="28"/>
          <w:szCs w:val="28"/>
          <w:lang w:val="zh-CN" w:eastAsia="zh-CN"/>
        </w:rPr>
      </w:pPr>
      <w:r>
        <w:rPr>
          <w:rFonts w:hint="default" w:ascii="Times New Roman" w:hAnsi="Times New Roman" w:cs="Times New Roman" w:eastAsiaTheme="minorEastAsia"/>
          <w:sz w:val="28"/>
          <w:szCs w:val="28"/>
          <w:lang w:val="en-US" w:eastAsia="zh-CN"/>
        </w:rPr>
        <w:t>本文件规定了电动自行车锂离子电池充换电柜</w:t>
      </w:r>
      <w:r>
        <w:rPr>
          <w:rFonts w:hint="eastAsia" w:ascii="Times New Roman" w:hAnsi="Times New Roman" w:cs="Times New Roman"/>
          <w:sz w:val="28"/>
          <w:szCs w:val="28"/>
          <w:lang w:val="en-US" w:eastAsia="zh-CN"/>
        </w:rPr>
        <w:t>通用技术</w:t>
      </w:r>
      <w:r>
        <w:rPr>
          <w:rFonts w:hint="default" w:ascii="Times New Roman" w:hAnsi="Times New Roman" w:cs="Times New Roman" w:eastAsiaTheme="minorEastAsia"/>
          <w:sz w:val="28"/>
          <w:szCs w:val="28"/>
          <w:lang w:val="en-US" w:eastAsia="zh-CN"/>
        </w:rPr>
        <w:t>要求、</w:t>
      </w:r>
      <w:r>
        <w:rPr>
          <w:rFonts w:hint="eastAsia" w:ascii="Times New Roman" w:hAnsi="Times New Roman" w:cs="Times New Roman"/>
          <w:sz w:val="28"/>
          <w:szCs w:val="28"/>
          <w:lang w:val="en-US" w:eastAsia="zh-CN"/>
        </w:rPr>
        <w:t>电气</w:t>
      </w:r>
      <w:r>
        <w:rPr>
          <w:rFonts w:hint="eastAsia" w:ascii="Times New Roman" w:hAnsi="Times New Roman" w:cs="Times New Roman" w:eastAsiaTheme="minorEastAsia"/>
          <w:sz w:val="28"/>
          <w:szCs w:val="28"/>
          <w:lang w:val="en-US" w:eastAsia="zh-CN"/>
        </w:rPr>
        <w:t>安全要求、</w:t>
      </w:r>
      <w:r>
        <w:rPr>
          <w:rFonts w:hint="eastAsia" w:ascii="Times New Roman" w:hAnsi="Times New Roman" w:cs="Times New Roman"/>
          <w:sz w:val="28"/>
          <w:szCs w:val="28"/>
          <w:lang w:val="en-US" w:eastAsia="zh-CN"/>
        </w:rPr>
        <w:t>消防灭火系统、防雷装置及接地、操作与维护要求</w:t>
      </w:r>
      <w:r>
        <w:rPr>
          <w:rFonts w:hint="default" w:ascii="Times New Roman" w:hAnsi="Times New Roman" w:cs="Times New Roman" w:eastAsiaTheme="minorEastAsia"/>
          <w:sz w:val="28"/>
          <w:szCs w:val="28"/>
          <w:lang w:val="en-US" w:eastAsia="zh-CN"/>
        </w:rPr>
        <w:t>等内容</w:t>
      </w:r>
      <w:r>
        <w:rPr>
          <w:rFonts w:hint="eastAsia" w:ascii="Times New Roman" w:hAnsi="Times New Roman" w:cs="Times New Roman" w:eastAsiaTheme="minorEastAsia"/>
          <w:sz w:val="28"/>
          <w:szCs w:val="28"/>
          <w:lang w:val="zh-CN" w:eastAsia="zh-CN"/>
        </w:rPr>
        <w:t>。</w:t>
      </w:r>
    </w:p>
    <w:p w14:paraId="623D8BF5">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default" w:ascii="Times New Roman" w:hAnsi="Times New Roman" w:cs="Times New Roman" w:eastAsiaTheme="minorEastAsia"/>
          <w:sz w:val="28"/>
          <w:szCs w:val="28"/>
          <w:lang w:val="en-US" w:eastAsia="zh-CN"/>
        </w:rPr>
      </w:pPr>
      <w:r>
        <w:rPr>
          <w:rFonts w:hint="default" w:ascii="Times New Roman" w:hAnsi="Times New Roman" w:cs="Times New Roman" w:eastAsiaTheme="minorEastAsia"/>
          <w:sz w:val="28"/>
          <w:szCs w:val="28"/>
          <w:lang w:val="en-US" w:eastAsia="zh-CN"/>
        </w:rPr>
        <w:t>主要技术指标包括：</w:t>
      </w:r>
      <w:bookmarkStart w:id="17" w:name="_Toc172014533"/>
      <w:r>
        <w:rPr>
          <w:rFonts w:hint="eastAsia" w:ascii="Times New Roman" w:hAnsi="Times New Roman" w:cs="Times New Roman" w:eastAsiaTheme="minorEastAsia"/>
          <w:sz w:val="28"/>
          <w:szCs w:val="28"/>
          <w:lang w:val="en-US" w:eastAsia="zh-CN"/>
        </w:rPr>
        <w:t>（1）</w:t>
      </w:r>
      <w:r>
        <w:rPr>
          <w:rFonts w:hint="eastAsia" w:ascii="Times New Roman" w:hAnsi="Times New Roman" w:cs="Times New Roman"/>
          <w:sz w:val="28"/>
          <w:szCs w:val="28"/>
          <w:lang w:val="en-US" w:eastAsia="zh-CN"/>
        </w:rPr>
        <w:t>通用技术方面对</w:t>
      </w:r>
      <w:r>
        <w:rPr>
          <w:rFonts w:hint="eastAsia" w:ascii="Times New Roman" w:hAnsi="Times New Roman" w:cs="Times New Roman" w:eastAsiaTheme="minorEastAsia"/>
          <w:sz w:val="28"/>
          <w:szCs w:val="28"/>
          <w:lang w:val="en-US" w:eastAsia="zh-CN"/>
        </w:rPr>
        <w:t>充换电柜</w:t>
      </w:r>
      <w:bookmarkEnd w:id="17"/>
      <w:r>
        <w:rPr>
          <w:rFonts w:hint="eastAsia" w:ascii="Times New Roman" w:hAnsi="Times New Roman" w:cs="Times New Roman"/>
          <w:sz w:val="28"/>
          <w:szCs w:val="28"/>
          <w:lang w:val="en-US" w:eastAsia="zh-CN"/>
        </w:rPr>
        <w:t>环境适应性、结构与材料、安全标志与标识提出</w:t>
      </w:r>
      <w:r>
        <w:rPr>
          <w:rFonts w:hint="eastAsia" w:ascii="Times New Roman" w:hAnsi="Times New Roman" w:cs="Times New Roman" w:eastAsiaTheme="minorEastAsia"/>
          <w:sz w:val="28"/>
          <w:szCs w:val="28"/>
          <w:lang w:val="en-US" w:eastAsia="zh-CN"/>
        </w:rPr>
        <w:t>要求</w:t>
      </w:r>
      <w:r>
        <w:rPr>
          <w:rFonts w:hint="eastAsia" w:ascii="Times New Roman" w:hAnsi="Times New Roman" w:cs="Times New Roman"/>
          <w:sz w:val="28"/>
          <w:szCs w:val="28"/>
          <w:lang w:val="en-US" w:eastAsia="zh-CN"/>
        </w:rPr>
        <w:t>，需满足三防要求、防锈、防撞击、机械强度等</w:t>
      </w:r>
      <w:r>
        <w:rPr>
          <w:rFonts w:hint="eastAsia" w:ascii="Times New Roman" w:hAnsi="Times New Roman" w:cs="Times New Roman" w:eastAsiaTheme="minorEastAsia"/>
          <w:sz w:val="28"/>
          <w:szCs w:val="28"/>
          <w:lang w:val="en-US" w:eastAsia="zh-CN"/>
        </w:rPr>
        <w:t>；（2）</w:t>
      </w:r>
      <w:r>
        <w:rPr>
          <w:rFonts w:hint="eastAsia" w:ascii="Times New Roman" w:hAnsi="Times New Roman" w:cs="Times New Roman"/>
          <w:sz w:val="28"/>
          <w:szCs w:val="28"/>
          <w:lang w:val="en-US" w:eastAsia="zh-CN"/>
        </w:rPr>
        <w:t>电气</w:t>
      </w:r>
      <w:r>
        <w:rPr>
          <w:rFonts w:hint="eastAsia" w:ascii="Times New Roman" w:hAnsi="Times New Roman" w:cs="Times New Roman" w:eastAsiaTheme="minorEastAsia"/>
          <w:sz w:val="28"/>
          <w:szCs w:val="28"/>
          <w:lang w:val="en-US" w:eastAsia="zh-CN"/>
        </w:rPr>
        <w:t>安全</w:t>
      </w:r>
      <w:r>
        <w:rPr>
          <w:rFonts w:hint="eastAsia" w:ascii="Times New Roman" w:hAnsi="Times New Roman" w:cs="Times New Roman"/>
          <w:sz w:val="28"/>
          <w:szCs w:val="28"/>
          <w:lang w:val="en-US" w:eastAsia="zh-CN"/>
        </w:rPr>
        <w:t>要求</w:t>
      </w:r>
      <w:r>
        <w:rPr>
          <w:rFonts w:hint="eastAsia" w:ascii="Times New Roman" w:hAnsi="Times New Roman" w:cs="Times New Roman" w:eastAsiaTheme="minorEastAsia"/>
          <w:sz w:val="28"/>
          <w:szCs w:val="28"/>
          <w:lang w:val="en-US" w:eastAsia="zh-CN"/>
        </w:rPr>
        <w:t>，</w:t>
      </w:r>
      <w:r>
        <w:rPr>
          <w:rFonts w:hint="eastAsia" w:ascii="Times New Roman" w:hAnsi="Times New Roman" w:cs="Times New Roman"/>
          <w:sz w:val="28"/>
          <w:szCs w:val="28"/>
          <w:lang w:val="en-US" w:eastAsia="zh-CN"/>
        </w:rPr>
        <w:t>除</w:t>
      </w:r>
      <w:r>
        <w:rPr>
          <w:rFonts w:hint="eastAsia" w:ascii="Times New Roman" w:hAnsi="Times New Roman" w:cs="Times New Roman" w:eastAsiaTheme="minorEastAsia"/>
          <w:sz w:val="28"/>
          <w:szCs w:val="28"/>
          <w:lang w:val="en-US" w:eastAsia="zh-CN"/>
        </w:rPr>
        <w:t>对</w:t>
      </w:r>
      <w:r>
        <w:rPr>
          <w:rFonts w:hint="eastAsia" w:ascii="Times New Roman" w:hAnsi="Times New Roman" w:cs="Times New Roman"/>
          <w:sz w:val="28"/>
          <w:szCs w:val="28"/>
          <w:lang w:val="en-US" w:eastAsia="zh-CN"/>
        </w:rPr>
        <w:t>配电箱设置、电缆与绝缘、备电能力</w:t>
      </w:r>
      <w:r>
        <w:rPr>
          <w:rFonts w:hint="eastAsia" w:ascii="Times New Roman" w:hAnsi="Times New Roman" w:cs="Times New Roman" w:eastAsiaTheme="minorEastAsia"/>
          <w:sz w:val="28"/>
          <w:szCs w:val="28"/>
          <w:lang w:val="en-US" w:eastAsia="zh-CN"/>
        </w:rPr>
        <w:t>提出要求</w:t>
      </w:r>
      <w:r>
        <w:rPr>
          <w:rFonts w:hint="eastAsia" w:ascii="Times New Roman" w:hAnsi="Times New Roman" w:cs="Times New Roman"/>
          <w:sz w:val="28"/>
          <w:szCs w:val="28"/>
          <w:lang w:val="en-US" w:eastAsia="zh-CN"/>
        </w:rPr>
        <w:t>外，还分别针对电气仓和电池仓提出仓门锁具、保护功能等要求</w:t>
      </w:r>
      <w:r>
        <w:rPr>
          <w:rFonts w:hint="eastAsia" w:ascii="Times New Roman" w:hAnsi="Times New Roman" w:cs="Times New Roman" w:eastAsiaTheme="minorEastAsia"/>
          <w:sz w:val="28"/>
          <w:szCs w:val="28"/>
          <w:lang w:val="en-US" w:eastAsia="zh-CN"/>
        </w:rPr>
        <w:t>；（3）</w:t>
      </w:r>
      <w:r>
        <w:rPr>
          <w:rFonts w:hint="eastAsia" w:ascii="Times New Roman" w:hAnsi="Times New Roman" w:cs="Times New Roman"/>
          <w:sz w:val="28"/>
          <w:szCs w:val="28"/>
          <w:lang w:val="en-US" w:eastAsia="zh-CN"/>
        </w:rPr>
        <w:t>消防灭火系统及防雷方面，</w:t>
      </w:r>
      <w:r>
        <w:rPr>
          <w:rFonts w:hint="eastAsia" w:ascii="Times New Roman" w:hAnsi="Times New Roman" w:cs="Times New Roman" w:eastAsiaTheme="minorEastAsia"/>
          <w:sz w:val="28"/>
          <w:szCs w:val="28"/>
          <w:lang w:val="en-US" w:eastAsia="zh-CN"/>
        </w:rPr>
        <w:t>对</w:t>
      </w:r>
      <w:r>
        <w:rPr>
          <w:rFonts w:hint="eastAsia" w:ascii="Times New Roman" w:hAnsi="Times New Roman" w:cs="Times New Roman"/>
          <w:sz w:val="28"/>
          <w:szCs w:val="28"/>
          <w:lang w:val="en-US" w:eastAsia="zh-CN"/>
        </w:rPr>
        <w:t>消防系统配置如探测器、自动灭火装置、防雷装置接地</w:t>
      </w:r>
      <w:r>
        <w:rPr>
          <w:rFonts w:hint="eastAsia" w:ascii="Times New Roman" w:hAnsi="Times New Roman" w:cs="Times New Roman" w:eastAsiaTheme="minorEastAsia"/>
          <w:sz w:val="28"/>
          <w:szCs w:val="28"/>
          <w:lang w:val="en-US" w:eastAsia="zh-CN"/>
        </w:rPr>
        <w:t>等方面提出要求；（4）</w:t>
      </w:r>
      <w:r>
        <w:rPr>
          <w:rFonts w:hint="eastAsia" w:ascii="Times New Roman" w:hAnsi="Times New Roman" w:cs="Times New Roman"/>
          <w:sz w:val="28"/>
          <w:szCs w:val="28"/>
          <w:lang w:val="en-US" w:eastAsia="zh-CN"/>
        </w:rPr>
        <w:t>操作与维护要求</w:t>
      </w:r>
      <w:r>
        <w:rPr>
          <w:rFonts w:hint="eastAsia" w:ascii="Times New Roman" w:hAnsi="Times New Roman" w:cs="Times New Roman" w:eastAsiaTheme="minorEastAsia"/>
          <w:sz w:val="28"/>
          <w:szCs w:val="28"/>
          <w:lang w:val="en-US" w:eastAsia="zh-CN"/>
        </w:rPr>
        <w:t>方面</w:t>
      </w:r>
      <w:r>
        <w:rPr>
          <w:rFonts w:hint="eastAsia" w:ascii="Times New Roman" w:hAnsi="Times New Roman" w:cs="Times New Roman"/>
          <w:sz w:val="28"/>
          <w:szCs w:val="28"/>
          <w:lang w:val="en-US" w:eastAsia="zh-CN"/>
        </w:rPr>
        <w:t>，对</w:t>
      </w:r>
      <w:r>
        <w:rPr>
          <w:rFonts w:hint="eastAsia" w:ascii="Times New Roman" w:hAnsi="Times New Roman" w:cs="Times New Roman" w:eastAsiaTheme="minorEastAsia"/>
          <w:sz w:val="28"/>
          <w:szCs w:val="28"/>
          <w:lang w:val="en-US" w:eastAsia="zh-CN"/>
        </w:rPr>
        <w:t>充换电柜</w:t>
      </w:r>
      <w:r>
        <w:rPr>
          <w:rFonts w:hint="eastAsia" w:ascii="Times New Roman" w:hAnsi="Times New Roman" w:cs="Times New Roman"/>
          <w:sz w:val="28"/>
          <w:szCs w:val="28"/>
          <w:lang w:val="en-US" w:eastAsia="zh-CN"/>
        </w:rPr>
        <w:t>电池管理、故障应急处理、维护设计</w:t>
      </w:r>
      <w:r>
        <w:rPr>
          <w:rFonts w:hint="eastAsia" w:ascii="Times New Roman" w:hAnsi="Times New Roman" w:cs="Times New Roman" w:eastAsiaTheme="minorEastAsia"/>
          <w:sz w:val="28"/>
          <w:szCs w:val="28"/>
          <w:lang w:val="en-US" w:eastAsia="zh-CN"/>
        </w:rPr>
        <w:t>等</w:t>
      </w:r>
      <w:r>
        <w:rPr>
          <w:rFonts w:hint="eastAsia" w:ascii="Times New Roman" w:hAnsi="Times New Roman" w:cs="Times New Roman"/>
          <w:sz w:val="28"/>
          <w:szCs w:val="28"/>
          <w:lang w:val="en-US" w:eastAsia="zh-CN"/>
        </w:rPr>
        <w:t>方面提出</w:t>
      </w:r>
      <w:r>
        <w:rPr>
          <w:rFonts w:hint="eastAsia" w:ascii="Times New Roman" w:hAnsi="Times New Roman" w:cs="Times New Roman" w:eastAsiaTheme="minorEastAsia"/>
          <w:sz w:val="28"/>
          <w:szCs w:val="28"/>
          <w:lang w:val="en-US" w:eastAsia="zh-CN"/>
        </w:rPr>
        <w:t>要求。</w:t>
      </w:r>
    </w:p>
    <w:p w14:paraId="5FECC115">
      <w:pPr>
        <w:keepNext w:val="0"/>
        <w:keepLines w:val="0"/>
        <w:pageBreakBefore w:val="0"/>
        <w:widowControl w:val="0"/>
        <w:kinsoku/>
        <w:wordWrap/>
        <w:topLinePunct w:val="0"/>
        <w:bidi w:val="0"/>
        <w:spacing w:line="560" w:lineRule="exact"/>
        <w:ind w:firstLine="640" w:firstLineChars="200"/>
        <w:contextualSpacing/>
        <w:textAlignment w:val="auto"/>
        <w:rPr>
          <w:rFonts w:hint="default" w:ascii="Times New Roman" w:hAnsi="Times New Roman" w:eastAsia="黑体" w:cs="Times New Roman"/>
          <w:sz w:val="32"/>
          <w:szCs w:val="32"/>
          <w:lang w:val="en-US" w:eastAsia="zh-CN"/>
        </w:rPr>
      </w:pPr>
      <w:bookmarkStart w:id="18" w:name="_Toc25481"/>
      <w:bookmarkStart w:id="19" w:name="_Toc28978_WPSOffice_Level1"/>
      <w:bookmarkStart w:id="20" w:name="_Toc3587"/>
      <w:r>
        <w:rPr>
          <w:rFonts w:hint="default" w:ascii="Times New Roman" w:hAnsi="Times New Roman" w:eastAsia="黑体" w:cs="Times New Roman"/>
          <w:sz w:val="32"/>
          <w:szCs w:val="32"/>
          <w:lang w:val="en-US" w:eastAsia="zh-CN"/>
        </w:rPr>
        <w:t>五、与相关法律法规和国家标准的关系</w:t>
      </w:r>
      <w:bookmarkEnd w:id="18"/>
      <w:bookmarkEnd w:id="19"/>
      <w:bookmarkEnd w:id="20"/>
    </w:p>
    <w:p w14:paraId="00D51EFC">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Times New Roman" w:hAnsi="Times New Roman" w:cs="Times New Roman" w:eastAsiaTheme="minorEastAsia"/>
          <w:sz w:val="28"/>
          <w:szCs w:val="28"/>
          <w:lang w:val="en-US" w:eastAsia="zh-CN"/>
        </w:rPr>
      </w:pPr>
      <w:r>
        <w:rPr>
          <w:rFonts w:hint="eastAsia" w:ascii="Times New Roman" w:hAnsi="Times New Roman" w:cs="Times New Roman" w:eastAsiaTheme="minorEastAsia"/>
          <w:sz w:val="28"/>
          <w:szCs w:val="28"/>
          <w:lang w:val="en-US" w:eastAsia="zh-CN"/>
        </w:rPr>
        <w:t>本</w:t>
      </w:r>
      <w:r>
        <w:rPr>
          <w:rFonts w:hint="eastAsia" w:ascii="Times New Roman" w:hAnsi="Times New Roman" w:cs="Times New Roman"/>
          <w:sz w:val="28"/>
          <w:szCs w:val="28"/>
          <w:lang w:val="en-US" w:eastAsia="zh-CN"/>
        </w:rPr>
        <w:t>标准</w:t>
      </w:r>
      <w:r>
        <w:rPr>
          <w:rFonts w:hint="eastAsia" w:ascii="Times New Roman" w:hAnsi="Times New Roman" w:cs="Times New Roman" w:eastAsiaTheme="minorEastAsia"/>
          <w:sz w:val="28"/>
          <w:szCs w:val="28"/>
          <w:lang w:val="en-US" w:eastAsia="zh-CN"/>
        </w:rPr>
        <w:t>在内容上不存在违反相关法律法规及强制性标准的情况</w:t>
      </w:r>
      <w:r>
        <w:rPr>
          <w:rFonts w:hint="eastAsia" w:ascii="Times New Roman" w:hAnsi="Times New Roman" w:cs="Times New Roman"/>
          <w:sz w:val="28"/>
          <w:szCs w:val="28"/>
          <w:lang w:val="en-US" w:eastAsia="zh-CN"/>
        </w:rPr>
        <w:t>，</w:t>
      </w:r>
      <w:r>
        <w:rPr>
          <w:rFonts w:hint="eastAsia" w:ascii="Times New Roman" w:hAnsi="Times New Roman" w:cs="Times New Roman" w:eastAsiaTheme="minorEastAsia"/>
          <w:sz w:val="28"/>
          <w:szCs w:val="28"/>
          <w:lang w:val="en-US" w:eastAsia="zh-CN"/>
        </w:rPr>
        <w:t>与相关标准的内容</w:t>
      </w:r>
      <w:r>
        <w:rPr>
          <w:rFonts w:hint="eastAsia" w:ascii="Times New Roman" w:hAnsi="Times New Roman" w:cs="Times New Roman"/>
          <w:sz w:val="28"/>
          <w:szCs w:val="28"/>
          <w:lang w:val="en-US" w:eastAsia="zh-CN"/>
        </w:rPr>
        <w:t>没有冲突和矛盾</w:t>
      </w:r>
      <w:r>
        <w:rPr>
          <w:rFonts w:hint="eastAsia" w:ascii="Times New Roman" w:hAnsi="Times New Roman" w:cs="Times New Roman" w:eastAsiaTheme="minorEastAsia"/>
          <w:sz w:val="28"/>
          <w:szCs w:val="28"/>
          <w:lang w:val="en-US" w:eastAsia="zh-CN"/>
        </w:rPr>
        <w:t>。</w:t>
      </w:r>
    </w:p>
    <w:p w14:paraId="38641915">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Times New Roman" w:hAnsi="Times New Roman" w:cs="Times New Roman" w:eastAsiaTheme="minorEastAsia"/>
          <w:sz w:val="28"/>
          <w:szCs w:val="28"/>
          <w:lang w:val="en-US" w:eastAsia="zh-CN"/>
        </w:rPr>
      </w:pPr>
      <w:r>
        <w:rPr>
          <w:rFonts w:hint="eastAsia" w:ascii="Times New Roman" w:hAnsi="Times New Roman" w:cs="Times New Roman" w:eastAsiaTheme="minorEastAsia"/>
          <w:sz w:val="28"/>
          <w:szCs w:val="28"/>
          <w:lang w:val="en-US" w:eastAsia="zh-CN"/>
        </w:rPr>
        <w:t>规范性引用文件，其最新版本</w:t>
      </w:r>
      <w:r>
        <w:rPr>
          <w:rFonts w:hint="eastAsia" w:ascii="Times New Roman" w:hAnsi="Times New Roman" w:cs="Times New Roman"/>
          <w:sz w:val="28"/>
          <w:szCs w:val="28"/>
          <w:lang w:val="en-US" w:eastAsia="zh-CN"/>
        </w:rPr>
        <w:t>（</w:t>
      </w:r>
      <w:r>
        <w:rPr>
          <w:rFonts w:hint="eastAsia" w:ascii="Times New Roman" w:hAnsi="Times New Roman" w:cs="Times New Roman" w:eastAsiaTheme="minorEastAsia"/>
          <w:sz w:val="28"/>
          <w:szCs w:val="28"/>
          <w:lang w:val="en-US" w:eastAsia="zh-CN"/>
        </w:rPr>
        <w:t>包括所有的修改</w:t>
      </w:r>
      <w:r>
        <w:rPr>
          <w:rFonts w:hint="eastAsia" w:ascii="Times New Roman" w:hAnsi="Times New Roman" w:cs="Times New Roman"/>
          <w:sz w:val="28"/>
          <w:szCs w:val="28"/>
          <w:lang w:val="en-US" w:eastAsia="zh-CN"/>
        </w:rPr>
        <w:t>版）</w:t>
      </w:r>
      <w:r>
        <w:rPr>
          <w:rFonts w:hint="eastAsia" w:ascii="Times New Roman" w:hAnsi="Times New Roman" w:cs="Times New Roman" w:eastAsiaTheme="minorEastAsia"/>
          <w:sz w:val="28"/>
          <w:szCs w:val="28"/>
          <w:lang w:val="en-US" w:eastAsia="zh-CN"/>
        </w:rPr>
        <w:t>适用于本文件。主要的引用文件有：</w:t>
      </w:r>
    </w:p>
    <w:p w14:paraId="105582A0">
      <w:pPr>
        <w:pStyle w:val="16"/>
        <w:spacing w:after="0" w:line="240" w:lineRule="auto"/>
        <w:ind w:firstLine="420"/>
        <w:rPr>
          <w:rFonts w:hint="eastAsia" w:ascii="Times New Roman" w:eastAsiaTheme="minorEastAsia"/>
          <w:kern w:val="2"/>
          <w:sz w:val="28"/>
          <w:szCs w:val="28"/>
        </w:rPr>
      </w:pPr>
      <w:r>
        <w:rPr>
          <w:rFonts w:hint="eastAsia" w:ascii="Times New Roman" w:eastAsiaTheme="minorEastAsia"/>
          <w:kern w:val="2"/>
          <w:sz w:val="28"/>
          <w:szCs w:val="28"/>
        </w:rPr>
        <w:t>GB/T 2423 试验方法 试验Z/AM：低温/低气压综合试验</w:t>
      </w:r>
    </w:p>
    <w:p w14:paraId="4B316DC6">
      <w:pPr>
        <w:pStyle w:val="16"/>
        <w:spacing w:after="0" w:line="240" w:lineRule="auto"/>
        <w:ind w:firstLine="420"/>
        <w:rPr>
          <w:rFonts w:hint="eastAsia" w:ascii="Times New Roman" w:eastAsiaTheme="minorEastAsia"/>
          <w:kern w:val="2"/>
          <w:sz w:val="28"/>
          <w:szCs w:val="28"/>
        </w:rPr>
      </w:pPr>
      <w:r>
        <w:rPr>
          <w:rFonts w:hint="eastAsia" w:ascii="Times New Roman" w:eastAsiaTheme="minorEastAsia"/>
          <w:kern w:val="2"/>
          <w:sz w:val="28"/>
          <w:szCs w:val="28"/>
          <w:lang w:val="en-US" w:eastAsia="zh-CN"/>
        </w:rPr>
        <w:t xml:space="preserve">GB/T 2423.55-2023 </w:t>
      </w:r>
      <w:r>
        <w:rPr>
          <w:rFonts w:hint="eastAsia" w:ascii="Times New Roman" w:eastAsiaTheme="minorEastAsia"/>
          <w:kern w:val="2"/>
          <w:sz w:val="28"/>
          <w:szCs w:val="28"/>
        </w:rPr>
        <w:t>环境试验 第2部分：试验方法 试验Eh：锤击试验</w:t>
      </w:r>
    </w:p>
    <w:p w14:paraId="5725380C">
      <w:pPr>
        <w:pStyle w:val="16"/>
        <w:spacing w:after="0" w:line="240" w:lineRule="auto"/>
        <w:ind w:firstLine="420"/>
        <w:rPr>
          <w:rFonts w:hint="eastAsia" w:ascii="Times New Roman" w:eastAsiaTheme="minorEastAsia"/>
          <w:kern w:val="2"/>
          <w:sz w:val="28"/>
          <w:szCs w:val="28"/>
        </w:rPr>
      </w:pPr>
      <w:r>
        <w:rPr>
          <w:rFonts w:hint="eastAsia" w:ascii="Times New Roman" w:eastAsiaTheme="minorEastAsia"/>
          <w:kern w:val="2"/>
          <w:sz w:val="28"/>
          <w:szCs w:val="28"/>
        </w:rPr>
        <w:t>GB 2894 安全标志及其使用导则</w:t>
      </w:r>
    </w:p>
    <w:p w14:paraId="14FE059A">
      <w:pPr>
        <w:pStyle w:val="16"/>
        <w:spacing w:after="0" w:line="240" w:lineRule="auto"/>
        <w:ind w:firstLine="420"/>
        <w:rPr>
          <w:rFonts w:hint="eastAsia" w:ascii="Times New Roman" w:eastAsiaTheme="minorEastAsia"/>
          <w:kern w:val="2"/>
          <w:sz w:val="28"/>
          <w:szCs w:val="28"/>
        </w:rPr>
      </w:pPr>
      <w:r>
        <w:rPr>
          <w:rFonts w:hint="eastAsia" w:ascii="Times New Roman" w:eastAsiaTheme="minorEastAsia"/>
          <w:kern w:val="2"/>
          <w:sz w:val="28"/>
          <w:szCs w:val="28"/>
        </w:rPr>
        <w:t>GB/T 4208 外壳防护等级</w:t>
      </w:r>
      <w:r>
        <w:rPr>
          <w:rFonts w:hint="eastAsia" w:ascii="Times New Roman" w:eastAsiaTheme="minorEastAsia"/>
          <w:kern w:val="2"/>
          <w:sz w:val="28"/>
          <w:szCs w:val="28"/>
          <w:lang w:eastAsia="zh-CN"/>
        </w:rPr>
        <w:t>（</w:t>
      </w:r>
      <w:r>
        <w:rPr>
          <w:rFonts w:hint="eastAsia" w:ascii="Times New Roman" w:eastAsiaTheme="minorEastAsia"/>
          <w:kern w:val="2"/>
          <w:sz w:val="28"/>
          <w:szCs w:val="28"/>
        </w:rPr>
        <w:t>IP代码</w:t>
      </w:r>
      <w:r>
        <w:rPr>
          <w:rFonts w:hint="eastAsia" w:ascii="Times New Roman" w:eastAsiaTheme="minorEastAsia"/>
          <w:kern w:val="2"/>
          <w:sz w:val="28"/>
          <w:szCs w:val="28"/>
          <w:lang w:eastAsia="zh-CN"/>
        </w:rPr>
        <w:t>）</w:t>
      </w:r>
    </w:p>
    <w:p w14:paraId="3C96B7FF">
      <w:pPr>
        <w:pStyle w:val="16"/>
        <w:spacing w:after="0" w:line="240" w:lineRule="auto"/>
        <w:ind w:firstLine="420"/>
        <w:rPr>
          <w:rFonts w:hint="eastAsia" w:ascii="Times New Roman" w:eastAsiaTheme="minorEastAsia"/>
          <w:kern w:val="2"/>
          <w:sz w:val="28"/>
          <w:szCs w:val="28"/>
        </w:rPr>
      </w:pPr>
      <w:r>
        <w:rPr>
          <w:rFonts w:hint="eastAsia" w:ascii="Times New Roman" w:eastAsiaTheme="minorEastAsia"/>
          <w:kern w:val="2"/>
          <w:sz w:val="28"/>
          <w:szCs w:val="28"/>
        </w:rPr>
        <w:t>GB 4706.1-2005 家用和类似用途电器的安全 通用要求</w:t>
      </w:r>
    </w:p>
    <w:p w14:paraId="32E6B3B9">
      <w:pPr>
        <w:pStyle w:val="16"/>
        <w:spacing w:after="0" w:line="240" w:lineRule="auto"/>
        <w:ind w:firstLine="420"/>
        <w:rPr>
          <w:rFonts w:hint="eastAsia" w:ascii="Times New Roman" w:eastAsiaTheme="minorEastAsia"/>
          <w:kern w:val="2"/>
          <w:sz w:val="28"/>
          <w:szCs w:val="28"/>
        </w:rPr>
      </w:pPr>
      <w:r>
        <w:rPr>
          <w:rFonts w:hint="eastAsia" w:ascii="Times New Roman" w:eastAsiaTheme="minorEastAsia"/>
          <w:kern w:val="2"/>
          <w:sz w:val="28"/>
          <w:szCs w:val="28"/>
        </w:rPr>
        <w:t xml:space="preserve">GB/T 4797.5 </w:t>
      </w:r>
      <w:r>
        <w:rPr>
          <w:rFonts w:hint="eastAsia" w:ascii="Times New Roman" w:eastAsiaTheme="minorEastAsia"/>
          <w:kern w:val="2"/>
          <w:sz w:val="28"/>
          <w:szCs w:val="28"/>
        </w:rPr>
        <w:fldChar w:fldCharType="begin"/>
      </w:r>
      <w:r>
        <w:rPr>
          <w:rFonts w:hint="eastAsia" w:ascii="Times New Roman" w:eastAsiaTheme="minorEastAsia"/>
          <w:kern w:val="2"/>
          <w:sz w:val="28"/>
          <w:szCs w:val="28"/>
        </w:rPr>
        <w:instrText xml:space="preserve"> HYPERLINK "https://www.antpedia.com/standard/7836528.html" \t "https://www.antpedia.com/standard/_blank" </w:instrText>
      </w:r>
      <w:r>
        <w:rPr>
          <w:rFonts w:hint="eastAsia" w:ascii="Times New Roman" w:eastAsiaTheme="minorEastAsia"/>
          <w:kern w:val="2"/>
          <w:sz w:val="28"/>
          <w:szCs w:val="28"/>
        </w:rPr>
        <w:fldChar w:fldCharType="separate"/>
      </w:r>
      <w:r>
        <w:rPr>
          <w:rFonts w:hint="eastAsia" w:ascii="Times New Roman" w:eastAsiaTheme="minorEastAsia"/>
          <w:kern w:val="2"/>
          <w:sz w:val="28"/>
          <w:szCs w:val="28"/>
        </w:rPr>
        <w:t>环境条件分类 自然环境条件 降水和风</w:t>
      </w:r>
      <w:r>
        <w:rPr>
          <w:rFonts w:hint="eastAsia" w:ascii="Times New Roman" w:eastAsiaTheme="minorEastAsia"/>
          <w:kern w:val="2"/>
          <w:sz w:val="28"/>
          <w:szCs w:val="28"/>
        </w:rPr>
        <w:fldChar w:fldCharType="end"/>
      </w:r>
    </w:p>
    <w:p w14:paraId="13E3C6A6">
      <w:pPr>
        <w:pStyle w:val="16"/>
        <w:spacing w:after="0" w:line="240" w:lineRule="auto"/>
        <w:ind w:firstLine="420"/>
        <w:rPr>
          <w:rFonts w:hint="eastAsia" w:ascii="Times New Roman" w:eastAsiaTheme="minorEastAsia"/>
          <w:kern w:val="2"/>
          <w:sz w:val="28"/>
          <w:szCs w:val="28"/>
        </w:rPr>
      </w:pPr>
      <w:r>
        <w:rPr>
          <w:rFonts w:hint="eastAsia" w:ascii="Times New Roman" w:eastAsiaTheme="minorEastAsia"/>
          <w:kern w:val="2"/>
          <w:sz w:val="28"/>
          <w:szCs w:val="28"/>
        </w:rPr>
        <w:t>GB 4943.1-2011</w:t>
      </w:r>
      <w:r>
        <w:rPr>
          <w:rFonts w:hint="eastAsia" w:ascii="Times New Roman" w:eastAsiaTheme="minorEastAsia"/>
          <w:kern w:val="2"/>
          <w:sz w:val="28"/>
          <w:szCs w:val="28"/>
          <w:lang w:val="en-US" w:eastAsia="zh-CN"/>
        </w:rPr>
        <w:t xml:space="preserve"> </w:t>
      </w:r>
      <w:r>
        <w:rPr>
          <w:rFonts w:hint="eastAsia" w:ascii="Times New Roman" w:eastAsiaTheme="minorEastAsia"/>
          <w:kern w:val="2"/>
          <w:sz w:val="28"/>
          <w:szCs w:val="28"/>
        </w:rPr>
        <w:t>信息技术设备安全第1部分：通用要求</w:t>
      </w:r>
    </w:p>
    <w:p w14:paraId="6BBE8076">
      <w:pPr>
        <w:pStyle w:val="16"/>
        <w:spacing w:after="0" w:line="240" w:lineRule="auto"/>
        <w:ind w:firstLine="420"/>
        <w:rPr>
          <w:rFonts w:hint="eastAsia" w:ascii="Times New Roman" w:eastAsiaTheme="minorEastAsia"/>
          <w:kern w:val="2"/>
          <w:sz w:val="28"/>
          <w:szCs w:val="28"/>
        </w:rPr>
      </w:pPr>
      <w:r>
        <w:rPr>
          <w:rFonts w:hint="eastAsia" w:ascii="Times New Roman" w:eastAsiaTheme="minorEastAsia"/>
          <w:kern w:val="2"/>
          <w:sz w:val="28"/>
          <w:szCs w:val="28"/>
        </w:rPr>
        <w:t>GB</w:t>
      </w:r>
      <w:r>
        <w:rPr>
          <w:rFonts w:hint="eastAsia" w:ascii="Times New Roman" w:eastAsiaTheme="minorEastAsia"/>
          <w:kern w:val="2"/>
          <w:sz w:val="28"/>
          <w:szCs w:val="28"/>
          <w:lang w:val="en-US" w:eastAsia="zh-CN"/>
        </w:rPr>
        <w:t>/</w:t>
      </w:r>
      <w:r>
        <w:rPr>
          <w:rFonts w:hint="eastAsia" w:ascii="Times New Roman" w:eastAsiaTheme="minorEastAsia"/>
          <w:kern w:val="2"/>
          <w:sz w:val="28"/>
          <w:szCs w:val="28"/>
        </w:rPr>
        <w:t>T</w:t>
      </w:r>
      <w:r>
        <w:rPr>
          <w:rFonts w:hint="eastAsia" w:ascii="Times New Roman" w:eastAsiaTheme="minorEastAsia"/>
          <w:kern w:val="2"/>
          <w:sz w:val="28"/>
          <w:szCs w:val="28"/>
          <w:lang w:val="en-US" w:eastAsia="zh-CN"/>
        </w:rPr>
        <w:t xml:space="preserve"> </w:t>
      </w:r>
      <w:r>
        <w:rPr>
          <w:rFonts w:hint="eastAsia" w:ascii="Times New Roman" w:eastAsiaTheme="minorEastAsia"/>
          <w:kern w:val="2"/>
          <w:sz w:val="28"/>
          <w:szCs w:val="28"/>
        </w:rPr>
        <w:t>6829-2017</w:t>
      </w:r>
      <w:r>
        <w:rPr>
          <w:rFonts w:hint="eastAsia" w:ascii="Times New Roman" w:eastAsiaTheme="minorEastAsia"/>
          <w:kern w:val="2"/>
          <w:sz w:val="28"/>
          <w:szCs w:val="28"/>
          <w:lang w:val="en-US" w:eastAsia="zh-CN"/>
        </w:rPr>
        <w:t xml:space="preserve"> </w:t>
      </w:r>
      <w:r>
        <w:rPr>
          <w:rFonts w:hint="eastAsia" w:ascii="Times New Roman" w:eastAsiaTheme="minorEastAsia"/>
          <w:kern w:val="2"/>
          <w:sz w:val="28"/>
          <w:szCs w:val="28"/>
        </w:rPr>
        <w:t>剩余电流动作保护电器</w:t>
      </w:r>
      <w:r>
        <w:rPr>
          <w:rFonts w:hint="eastAsia" w:ascii="Times New Roman" w:eastAsiaTheme="minorEastAsia"/>
          <w:kern w:val="2"/>
          <w:sz w:val="28"/>
          <w:szCs w:val="28"/>
          <w:lang w:eastAsia="zh-CN"/>
        </w:rPr>
        <w:t>（</w:t>
      </w:r>
      <w:r>
        <w:rPr>
          <w:rFonts w:hint="eastAsia" w:ascii="Times New Roman" w:eastAsiaTheme="minorEastAsia"/>
          <w:kern w:val="2"/>
          <w:sz w:val="28"/>
          <w:szCs w:val="28"/>
        </w:rPr>
        <w:t>RCD</w:t>
      </w:r>
      <w:r>
        <w:rPr>
          <w:rFonts w:hint="eastAsia" w:ascii="Times New Roman" w:eastAsiaTheme="minorEastAsia"/>
          <w:kern w:val="2"/>
          <w:sz w:val="28"/>
          <w:szCs w:val="28"/>
          <w:lang w:eastAsia="zh-CN"/>
        </w:rPr>
        <w:t>）</w:t>
      </w:r>
      <w:r>
        <w:rPr>
          <w:rFonts w:hint="eastAsia" w:ascii="Times New Roman" w:eastAsiaTheme="minorEastAsia"/>
          <w:kern w:val="2"/>
          <w:sz w:val="28"/>
          <w:szCs w:val="28"/>
        </w:rPr>
        <w:t>的一般要求</w:t>
      </w:r>
    </w:p>
    <w:p w14:paraId="048AF19B">
      <w:pPr>
        <w:pStyle w:val="16"/>
        <w:spacing w:after="0" w:line="240" w:lineRule="auto"/>
        <w:ind w:firstLine="420"/>
        <w:rPr>
          <w:rFonts w:hint="eastAsia" w:ascii="Times New Roman" w:eastAsiaTheme="minorEastAsia"/>
          <w:kern w:val="2"/>
          <w:sz w:val="28"/>
          <w:szCs w:val="28"/>
        </w:rPr>
      </w:pPr>
      <w:r>
        <w:rPr>
          <w:rFonts w:hint="eastAsia" w:ascii="Times New Roman" w:eastAsiaTheme="minorEastAsia"/>
          <w:kern w:val="2"/>
          <w:sz w:val="28"/>
          <w:szCs w:val="28"/>
        </w:rPr>
        <w:t>GB 8624-2012</w:t>
      </w:r>
      <w:r>
        <w:rPr>
          <w:rFonts w:hint="eastAsia" w:ascii="Times New Roman" w:eastAsiaTheme="minorEastAsia"/>
          <w:kern w:val="2"/>
          <w:sz w:val="28"/>
          <w:szCs w:val="28"/>
          <w:lang w:val="en-US" w:eastAsia="zh-CN"/>
        </w:rPr>
        <w:t xml:space="preserve"> </w:t>
      </w:r>
      <w:r>
        <w:rPr>
          <w:rFonts w:hint="eastAsia" w:ascii="Times New Roman" w:eastAsiaTheme="minorEastAsia"/>
          <w:kern w:val="2"/>
          <w:sz w:val="28"/>
          <w:szCs w:val="28"/>
        </w:rPr>
        <w:t>建筑材料及制品燃烧性能分级</w:t>
      </w:r>
    </w:p>
    <w:p w14:paraId="5885F35B">
      <w:pPr>
        <w:pStyle w:val="16"/>
        <w:spacing w:after="0" w:line="240" w:lineRule="auto"/>
        <w:ind w:firstLine="420"/>
        <w:rPr>
          <w:rFonts w:hint="eastAsia" w:ascii="Times New Roman" w:eastAsiaTheme="minorEastAsia"/>
          <w:kern w:val="2"/>
          <w:sz w:val="28"/>
          <w:szCs w:val="28"/>
        </w:rPr>
      </w:pPr>
      <w:r>
        <w:rPr>
          <w:rFonts w:hint="eastAsia" w:ascii="Times New Roman" w:eastAsiaTheme="minorEastAsia"/>
          <w:kern w:val="2"/>
          <w:sz w:val="28"/>
          <w:szCs w:val="28"/>
        </w:rPr>
        <w:t>GB 15630 消防安全标志设置要求</w:t>
      </w:r>
    </w:p>
    <w:p w14:paraId="0C649BB3">
      <w:pPr>
        <w:pStyle w:val="16"/>
        <w:spacing w:after="0" w:line="240" w:lineRule="auto"/>
        <w:ind w:firstLine="420"/>
        <w:rPr>
          <w:rFonts w:hint="eastAsia" w:ascii="Times New Roman" w:eastAsiaTheme="minorEastAsia"/>
          <w:kern w:val="2"/>
          <w:sz w:val="28"/>
          <w:szCs w:val="28"/>
          <w:lang w:val="en-US" w:eastAsia="zh-CN"/>
        </w:rPr>
      </w:pPr>
      <w:r>
        <w:rPr>
          <w:rFonts w:hint="eastAsia" w:ascii="Times New Roman" w:eastAsiaTheme="minorEastAsia"/>
          <w:kern w:val="2"/>
          <w:sz w:val="28"/>
          <w:szCs w:val="28"/>
          <w:lang w:val="en-US" w:eastAsia="zh-CN"/>
        </w:rPr>
        <w:t>GB/T 17626.5-2019 电磁兼容 试验和测量技术 浪涌（冲击）抗扰度试验</w:t>
      </w:r>
    </w:p>
    <w:p w14:paraId="086A01BD">
      <w:pPr>
        <w:pStyle w:val="16"/>
        <w:spacing w:after="0" w:line="240" w:lineRule="auto"/>
        <w:ind w:firstLine="420"/>
        <w:rPr>
          <w:rFonts w:hint="eastAsia" w:ascii="Times New Roman" w:eastAsiaTheme="minorEastAsia"/>
          <w:kern w:val="2"/>
          <w:sz w:val="28"/>
          <w:szCs w:val="28"/>
        </w:rPr>
      </w:pPr>
      <w:r>
        <w:rPr>
          <w:rFonts w:hint="eastAsia" w:ascii="Times New Roman" w:eastAsiaTheme="minorEastAsia"/>
          <w:kern w:val="2"/>
          <w:sz w:val="28"/>
          <w:szCs w:val="28"/>
        </w:rPr>
        <w:t>GB 18380.12 电缆和光缆在火焰条件下的燃烧试验 第12部分</w:t>
      </w:r>
      <w:r>
        <w:rPr>
          <w:rFonts w:hint="eastAsia" w:ascii="Times New Roman" w:eastAsiaTheme="minorEastAsia"/>
          <w:kern w:val="2"/>
          <w:sz w:val="28"/>
          <w:szCs w:val="28"/>
          <w:lang w:eastAsia="zh-CN"/>
        </w:rPr>
        <w:t>：</w:t>
      </w:r>
      <w:r>
        <w:rPr>
          <w:rFonts w:hint="eastAsia" w:ascii="Times New Roman" w:eastAsiaTheme="minorEastAsia"/>
          <w:kern w:val="2"/>
          <w:sz w:val="28"/>
          <w:szCs w:val="28"/>
        </w:rPr>
        <w:t>单根绝缘电线电缆火焰垂直蔓延试验 1kW预混合型火焰试验方法</w:t>
      </w:r>
    </w:p>
    <w:p w14:paraId="054FA6AA">
      <w:pPr>
        <w:pStyle w:val="16"/>
        <w:spacing w:after="0" w:line="240" w:lineRule="auto"/>
        <w:ind w:firstLine="420"/>
        <w:rPr>
          <w:rFonts w:hint="eastAsia" w:ascii="Times New Roman" w:eastAsiaTheme="minorEastAsia"/>
          <w:kern w:val="2"/>
          <w:sz w:val="28"/>
          <w:szCs w:val="28"/>
        </w:rPr>
      </w:pPr>
      <w:r>
        <w:rPr>
          <w:rFonts w:hint="eastAsia" w:ascii="Times New Roman" w:eastAsiaTheme="minorEastAsia"/>
          <w:kern w:val="2"/>
          <w:sz w:val="28"/>
          <w:szCs w:val="28"/>
        </w:rPr>
        <w:t>GB 21556-2008</w:t>
      </w:r>
      <w:r>
        <w:rPr>
          <w:rFonts w:hint="eastAsia" w:ascii="Times New Roman" w:eastAsiaTheme="minorEastAsia"/>
          <w:kern w:val="2"/>
          <w:sz w:val="28"/>
          <w:szCs w:val="28"/>
          <w:lang w:val="en-US" w:eastAsia="zh-CN"/>
        </w:rPr>
        <w:t xml:space="preserve"> </w:t>
      </w:r>
      <w:r>
        <w:rPr>
          <w:rFonts w:hint="eastAsia" w:ascii="Times New Roman" w:eastAsiaTheme="minorEastAsia"/>
          <w:kern w:val="2"/>
          <w:sz w:val="28"/>
          <w:szCs w:val="28"/>
        </w:rPr>
        <w:t>锁具安全通用技术条件</w:t>
      </w:r>
    </w:p>
    <w:p w14:paraId="61177826">
      <w:pPr>
        <w:pStyle w:val="16"/>
        <w:spacing w:after="0" w:line="240" w:lineRule="auto"/>
        <w:ind w:firstLine="420"/>
        <w:rPr>
          <w:rFonts w:hint="eastAsia" w:ascii="Times New Roman" w:eastAsiaTheme="minorEastAsia"/>
          <w:kern w:val="2"/>
          <w:sz w:val="28"/>
          <w:szCs w:val="28"/>
          <w:lang w:val="en-US" w:eastAsia="zh-CN"/>
        </w:rPr>
      </w:pPr>
      <w:r>
        <w:rPr>
          <w:rFonts w:hint="eastAsia" w:ascii="Times New Roman" w:eastAsiaTheme="minorEastAsia"/>
          <w:kern w:val="2"/>
          <w:sz w:val="28"/>
          <w:szCs w:val="28"/>
          <w:lang w:val="en-US" w:eastAsia="zh-CN"/>
        </w:rPr>
        <w:t>GB 31241-2014 便携式电子产品用锂离子电池和电池组安全要求</w:t>
      </w:r>
    </w:p>
    <w:p w14:paraId="08534589">
      <w:pPr>
        <w:pStyle w:val="16"/>
        <w:spacing w:after="0" w:line="240" w:lineRule="auto"/>
        <w:ind w:firstLine="420"/>
        <w:rPr>
          <w:rFonts w:hint="eastAsia" w:ascii="Times New Roman" w:eastAsiaTheme="minorEastAsia"/>
          <w:kern w:val="2"/>
          <w:sz w:val="28"/>
          <w:szCs w:val="28"/>
        </w:rPr>
      </w:pPr>
      <w:r>
        <w:rPr>
          <w:rFonts w:hint="eastAsia" w:ascii="Times New Roman" w:eastAsiaTheme="minorEastAsia"/>
          <w:kern w:val="2"/>
          <w:sz w:val="28"/>
          <w:szCs w:val="28"/>
        </w:rPr>
        <w:t>GB/T 42236.1-2022 电动自行车集中充电设施 第1部分</w:t>
      </w:r>
      <w:r>
        <w:rPr>
          <w:rFonts w:hint="eastAsia" w:ascii="Times New Roman" w:eastAsiaTheme="minorEastAsia"/>
          <w:kern w:val="2"/>
          <w:sz w:val="28"/>
          <w:szCs w:val="28"/>
          <w:lang w:eastAsia="zh-CN"/>
        </w:rPr>
        <w:t>：</w:t>
      </w:r>
      <w:r>
        <w:rPr>
          <w:rFonts w:hint="eastAsia" w:ascii="Times New Roman" w:eastAsiaTheme="minorEastAsia"/>
          <w:kern w:val="2"/>
          <w:sz w:val="28"/>
          <w:szCs w:val="28"/>
        </w:rPr>
        <w:t>技术规范</w:t>
      </w:r>
    </w:p>
    <w:p w14:paraId="4D621285">
      <w:pPr>
        <w:pStyle w:val="16"/>
        <w:spacing w:after="0" w:line="240" w:lineRule="auto"/>
        <w:ind w:firstLine="420"/>
        <w:rPr>
          <w:rFonts w:hint="eastAsia" w:ascii="Times New Roman" w:eastAsiaTheme="minorEastAsia"/>
          <w:kern w:val="2"/>
          <w:sz w:val="28"/>
          <w:szCs w:val="28"/>
          <w:lang w:val="en-US" w:eastAsia="zh-CN"/>
        </w:rPr>
      </w:pPr>
      <w:r>
        <w:rPr>
          <w:rFonts w:hint="eastAsia" w:ascii="Times New Roman" w:eastAsiaTheme="minorEastAsia"/>
          <w:kern w:val="2"/>
          <w:sz w:val="28"/>
          <w:szCs w:val="28"/>
          <w:lang w:val="en-US" w:eastAsia="zh-CN"/>
        </w:rPr>
        <w:t xml:space="preserve">GB 42296-2022 </w:t>
      </w:r>
      <w:r>
        <w:rPr>
          <w:rFonts w:hint="eastAsia" w:ascii="Times New Roman" w:eastAsiaTheme="minorEastAsia"/>
          <w:kern w:val="2"/>
          <w:sz w:val="28"/>
          <w:szCs w:val="28"/>
        </w:rPr>
        <w:t>电动自行车用充电器安全技术要求</w:t>
      </w:r>
    </w:p>
    <w:p w14:paraId="2031907D">
      <w:pPr>
        <w:pStyle w:val="16"/>
        <w:spacing w:after="0" w:line="240" w:lineRule="auto"/>
        <w:ind w:firstLine="420"/>
        <w:rPr>
          <w:rFonts w:hint="eastAsia" w:ascii="Times New Roman" w:eastAsiaTheme="minorEastAsia"/>
          <w:kern w:val="2"/>
          <w:sz w:val="28"/>
          <w:szCs w:val="28"/>
          <w:lang w:val="en-US" w:eastAsia="zh-CN"/>
        </w:rPr>
      </w:pPr>
      <w:r>
        <w:rPr>
          <w:rFonts w:hint="eastAsia" w:ascii="Times New Roman" w:eastAsiaTheme="minorEastAsia"/>
          <w:kern w:val="2"/>
          <w:sz w:val="28"/>
          <w:szCs w:val="28"/>
          <w:lang w:val="en-US" w:eastAsia="zh-CN"/>
        </w:rPr>
        <w:t xml:space="preserve">GB 43854-2024 </w:t>
      </w:r>
      <w:r>
        <w:rPr>
          <w:rFonts w:hint="eastAsia" w:ascii="Times New Roman" w:eastAsiaTheme="minorEastAsia"/>
          <w:kern w:val="2"/>
          <w:sz w:val="28"/>
          <w:szCs w:val="28"/>
        </w:rPr>
        <w:t>电动自行车用锂离子蓄电池安全技术规范</w:t>
      </w:r>
    </w:p>
    <w:p w14:paraId="157B5541">
      <w:pPr>
        <w:pStyle w:val="16"/>
        <w:spacing w:after="0" w:line="240" w:lineRule="auto"/>
        <w:ind w:firstLine="420"/>
        <w:rPr>
          <w:rFonts w:hint="eastAsia" w:ascii="Times New Roman" w:eastAsiaTheme="minorEastAsia"/>
          <w:kern w:val="2"/>
          <w:sz w:val="28"/>
          <w:szCs w:val="28"/>
          <w:lang w:val="en-US" w:eastAsia="zh-CN"/>
        </w:rPr>
      </w:pPr>
      <w:r>
        <w:rPr>
          <w:rFonts w:hint="eastAsia" w:ascii="Times New Roman" w:eastAsiaTheme="minorEastAsia"/>
          <w:kern w:val="2"/>
          <w:sz w:val="28"/>
          <w:szCs w:val="28"/>
          <w:lang w:val="en-US" w:eastAsia="zh-CN"/>
        </w:rPr>
        <w:t>GB 50169-2016 电气装置安装工程 接地装置施工及验收规范</w:t>
      </w:r>
    </w:p>
    <w:p w14:paraId="37C60ADF">
      <w:pPr>
        <w:pStyle w:val="16"/>
        <w:spacing w:after="0" w:line="240" w:lineRule="auto"/>
        <w:ind w:firstLine="420"/>
        <w:rPr>
          <w:rFonts w:hint="eastAsia" w:ascii="Times New Roman" w:eastAsiaTheme="minorEastAsia"/>
          <w:kern w:val="2"/>
          <w:sz w:val="28"/>
          <w:szCs w:val="28"/>
          <w:lang w:val="en-US" w:eastAsia="zh-CN"/>
        </w:rPr>
      </w:pPr>
      <w:r>
        <w:rPr>
          <w:rFonts w:hint="eastAsia" w:ascii="Times New Roman" w:eastAsiaTheme="minorEastAsia"/>
          <w:kern w:val="2"/>
          <w:sz w:val="28"/>
          <w:szCs w:val="28"/>
          <w:lang w:val="en-US" w:eastAsia="zh-CN"/>
        </w:rPr>
        <w:t>GA/T 73-2015 机械防盗锁</w:t>
      </w:r>
    </w:p>
    <w:p w14:paraId="4EF17C16">
      <w:pPr>
        <w:pStyle w:val="16"/>
        <w:spacing w:after="0" w:line="240" w:lineRule="auto"/>
        <w:ind w:firstLine="420"/>
        <w:rPr>
          <w:rFonts w:hint="eastAsia" w:ascii="Times New Roman" w:eastAsiaTheme="minorEastAsia"/>
          <w:kern w:val="2"/>
          <w:sz w:val="28"/>
          <w:szCs w:val="28"/>
          <w:lang w:val="en-US" w:eastAsia="zh-CN"/>
        </w:rPr>
      </w:pPr>
      <w:r>
        <w:rPr>
          <w:rFonts w:hint="eastAsia" w:ascii="Times New Roman" w:eastAsiaTheme="minorEastAsia"/>
          <w:kern w:val="2"/>
          <w:sz w:val="28"/>
          <w:szCs w:val="28"/>
          <w:lang w:val="en-US" w:eastAsia="zh-CN"/>
        </w:rPr>
        <w:t>NB/T 10690-2021 电动助力车用蓄电池充（换）电设备技术规范 第2部分 充（换）电柜</w:t>
      </w:r>
    </w:p>
    <w:p w14:paraId="27C43744">
      <w:pPr>
        <w:numPr>
          <w:ilvl w:val="-1"/>
          <w:numId w:val="0"/>
        </w:numPr>
        <w:spacing w:line="560" w:lineRule="exact"/>
        <w:ind w:leftChars="0" w:firstLine="640" w:firstLineChars="200"/>
        <w:contextualSpacing/>
        <w:jc w:val="left"/>
        <w:outlineLvl w:val="9"/>
        <w:rPr>
          <w:rFonts w:hint="default" w:ascii="Times New Roman" w:hAnsi="Times New Roman" w:eastAsia="黑体" w:cs="Times New Roman"/>
          <w:b w:val="0"/>
          <w:sz w:val="32"/>
          <w:szCs w:val="32"/>
        </w:rPr>
      </w:pPr>
      <w:bookmarkStart w:id="21" w:name="_Toc15612"/>
      <w:bookmarkStart w:id="22" w:name="_Toc16958_WPSOffice_Level1"/>
      <w:bookmarkStart w:id="23" w:name="_Toc12791"/>
      <w:r>
        <w:rPr>
          <w:rFonts w:hint="default" w:ascii="Times New Roman" w:hAnsi="Times New Roman" w:eastAsia="黑体" w:cs="Times New Roman"/>
          <w:sz w:val="32"/>
          <w:szCs w:val="32"/>
          <w:lang w:val="en-US" w:eastAsia="zh-CN"/>
        </w:rPr>
        <w:t>六、</w:t>
      </w:r>
      <w:r>
        <w:rPr>
          <w:rFonts w:hint="default" w:ascii="Times New Roman" w:hAnsi="Times New Roman" w:eastAsia="黑体" w:cs="Times New Roman"/>
          <w:b w:val="0"/>
          <w:sz w:val="32"/>
          <w:szCs w:val="32"/>
        </w:rPr>
        <w:t>重大分歧意见的处理过程和依据</w:t>
      </w:r>
      <w:bookmarkEnd w:id="21"/>
      <w:bookmarkEnd w:id="22"/>
      <w:bookmarkEnd w:id="23"/>
    </w:p>
    <w:p w14:paraId="41DF752D">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Times New Roman" w:hAnsi="Times New Roman" w:cs="Times New Roman" w:eastAsiaTheme="minorEastAsia"/>
          <w:sz w:val="28"/>
          <w:szCs w:val="28"/>
          <w:lang w:val="en-US" w:eastAsia="zh-CN"/>
        </w:rPr>
      </w:pPr>
      <w:r>
        <w:rPr>
          <w:rFonts w:hint="eastAsia" w:ascii="Times New Roman" w:hAnsi="Times New Roman" w:cs="Times New Roman" w:eastAsiaTheme="minorEastAsia"/>
          <w:sz w:val="28"/>
          <w:szCs w:val="28"/>
          <w:lang w:val="en-US" w:eastAsia="zh-CN"/>
        </w:rPr>
        <w:t>无。</w:t>
      </w:r>
    </w:p>
    <w:p w14:paraId="7A04F3A9">
      <w:pPr>
        <w:keepNext w:val="0"/>
        <w:keepLines w:val="0"/>
        <w:pageBreakBefore w:val="0"/>
        <w:widowControl w:val="0"/>
        <w:kinsoku/>
        <w:wordWrap/>
        <w:topLinePunct w:val="0"/>
        <w:bidi w:val="0"/>
        <w:spacing w:line="560" w:lineRule="exact"/>
        <w:ind w:firstLine="640" w:firstLineChars="200"/>
        <w:contextualSpacing/>
        <w:textAlignment w:val="auto"/>
        <w:rPr>
          <w:rFonts w:hint="default" w:ascii="Times New Roman" w:hAnsi="Times New Roman" w:eastAsia="黑体" w:cs="Times New Roman"/>
          <w:sz w:val="32"/>
          <w:szCs w:val="32"/>
          <w:lang w:val="en-US" w:eastAsia="zh-CN"/>
        </w:rPr>
      </w:pPr>
      <w:bookmarkStart w:id="24" w:name="_Toc6442"/>
      <w:bookmarkStart w:id="25" w:name="_Toc11073"/>
      <w:bookmarkStart w:id="26" w:name="_Toc24210_WPSOffice_Level1"/>
      <w:r>
        <w:rPr>
          <w:rFonts w:hint="default" w:ascii="Times New Roman" w:hAnsi="Times New Roman" w:eastAsia="黑体" w:cs="Times New Roman"/>
          <w:sz w:val="32"/>
          <w:szCs w:val="32"/>
          <w:lang w:val="en-US" w:eastAsia="zh-CN"/>
        </w:rPr>
        <w:t>七、实施推广建议</w:t>
      </w:r>
      <w:bookmarkEnd w:id="24"/>
      <w:bookmarkEnd w:id="25"/>
      <w:bookmarkEnd w:id="26"/>
    </w:p>
    <w:p w14:paraId="5865CEDA">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Times New Roman" w:hAnsi="Times New Roman" w:cs="Times New Roman" w:eastAsiaTheme="minorEastAsia"/>
          <w:sz w:val="28"/>
          <w:szCs w:val="28"/>
          <w:lang w:val="en-US" w:eastAsia="zh-CN"/>
        </w:rPr>
      </w:pPr>
      <w:r>
        <w:rPr>
          <w:rFonts w:hint="eastAsia" w:ascii="Times New Roman" w:hAnsi="Times New Roman" w:cs="Times New Roman"/>
          <w:sz w:val="28"/>
          <w:szCs w:val="28"/>
          <w:lang w:val="en-US" w:eastAsia="zh-CN"/>
        </w:rPr>
        <w:t>1.</w:t>
      </w:r>
      <w:r>
        <w:rPr>
          <w:rFonts w:hint="eastAsia" w:ascii="Times New Roman" w:hAnsi="Times New Roman" w:cs="Times New Roman" w:eastAsiaTheme="minorEastAsia"/>
          <w:sz w:val="28"/>
          <w:szCs w:val="28"/>
          <w:lang w:val="en-US" w:eastAsia="zh-CN"/>
        </w:rPr>
        <w:t>建议我省</w:t>
      </w:r>
      <w:r>
        <w:rPr>
          <w:rFonts w:hint="eastAsia" w:ascii="Times New Roman" w:hAnsi="Times New Roman" w:cs="Times New Roman"/>
          <w:sz w:val="28"/>
          <w:szCs w:val="28"/>
          <w:lang w:val="en-US" w:eastAsia="zh-CN"/>
        </w:rPr>
        <w:t>在</w:t>
      </w:r>
      <w:r>
        <w:rPr>
          <w:rFonts w:hint="eastAsia" w:ascii="Times New Roman" w:hAnsi="Times New Roman" w:cs="Times New Roman" w:eastAsiaTheme="minorEastAsia"/>
          <w:sz w:val="28"/>
          <w:szCs w:val="28"/>
          <w:lang w:val="en-US" w:eastAsia="zh-CN"/>
        </w:rPr>
        <w:t>电动自行车锂离子电池充换电柜的安全</w:t>
      </w:r>
      <w:r>
        <w:rPr>
          <w:rFonts w:hint="eastAsia" w:ascii="Times New Roman" w:hAnsi="Times New Roman" w:cs="Times New Roman"/>
          <w:sz w:val="28"/>
          <w:szCs w:val="28"/>
          <w:lang w:val="en-US" w:eastAsia="zh-CN"/>
        </w:rPr>
        <w:t>、</w:t>
      </w:r>
      <w:r>
        <w:rPr>
          <w:rFonts w:hint="eastAsia" w:ascii="Times New Roman" w:hAnsi="Times New Roman" w:cs="Times New Roman" w:eastAsiaTheme="minorEastAsia"/>
          <w:sz w:val="28"/>
          <w:szCs w:val="28"/>
          <w:lang w:val="en-US" w:eastAsia="zh-CN"/>
        </w:rPr>
        <w:t>管理等</w:t>
      </w:r>
      <w:r>
        <w:rPr>
          <w:rFonts w:hint="eastAsia" w:ascii="Times New Roman" w:hAnsi="Times New Roman" w:cs="Times New Roman"/>
          <w:sz w:val="28"/>
          <w:szCs w:val="28"/>
          <w:lang w:val="en-US" w:eastAsia="zh-CN"/>
        </w:rPr>
        <w:t>方面</w:t>
      </w:r>
      <w:r>
        <w:rPr>
          <w:rFonts w:hint="eastAsia" w:ascii="Times New Roman" w:hAnsi="Times New Roman" w:cs="Times New Roman" w:eastAsiaTheme="minorEastAsia"/>
          <w:sz w:val="28"/>
          <w:szCs w:val="28"/>
          <w:lang w:val="en-US" w:eastAsia="zh-CN"/>
        </w:rPr>
        <w:t>，积极</w:t>
      </w:r>
      <w:r>
        <w:rPr>
          <w:rFonts w:hint="eastAsia" w:ascii="Times New Roman" w:hAnsi="Times New Roman" w:cs="Times New Roman"/>
          <w:sz w:val="28"/>
          <w:szCs w:val="28"/>
          <w:lang w:val="en-US" w:eastAsia="zh-CN"/>
        </w:rPr>
        <w:t>应</w:t>
      </w:r>
      <w:r>
        <w:rPr>
          <w:rFonts w:hint="eastAsia" w:ascii="Times New Roman" w:hAnsi="Times New Roman" w:cs="Times New Roman" w:eastAsiaTheme="minorEastAsia"/>
          <w:sz w:val="28"/>
          <w:szCs w:val="28"/>
          <w:lang w:val="en-US" w:eastAsia="zh-CN"/>
        </w:rPr>
        <w:t>用本标准，推</w:t>
      </w:r>
      <w:r>
        <w:rPr>
          <w:rFonts w:hint="eastAsia" w:ascii="Times New Roman" w:hAnsi="Times New Roman" w:cs="Times New Roman"/>
          <w:sz w:val="28"/>
          <w:szCs w:val="28"/>
          <w:lang w:val="en-US" w:eastAsia="zh-CN"/>
        </w:rPr>
        <w:t>动</w:t>
      </w:r>
      <w:r>
        <w:rPr>
          <w:rFonts w:hint="eastAsia" w:ascii="Times New Roman" w:hAnsi="Times New Roman" w:cs="Times New Roman" w:eastAsiaTheme="minorEastAsia"/>
          <w:sz w:val="28"/>
          <w:szCs w:val="28"/>
          <w:lang w:val="en-US" w:eastAsia="zh-CN"/>
        </w:rPr>
        <w:t>标准的实施。</w:t>
      </w:r>
    </w:p>
    <w:p w14:paraId="6DCE2624">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Times New Roman" w:hAnsi="Times New Roman" w:cs="Times New Roman" w:eastAsiaTheme="minorEastAsia"/>
          <w:sz w:val="28"/>
          <w:szCs w:val="28"/>
          <w:lang w:val="en-US" w:eastAsia="zh-CN"/>
        </w:rPr>
      </w:pPr>
      <w:r>
        <w:rPr>
          <w:rFonts w:hint="eastAsia" w:ascii="Times New Roman" w:hAnsi="Times New Roman" w:cs="Times New Roman"/>
          <w:sz w:val="28"/>
          <w:szCs w:val="28"/>
          <w:lang w:val="en-US" w:eastAsia="zh-CN"/>
        </w:rPr>
        <w:t>2.</w:t>
      </w:r>
      <w:r>
        <w:rPr>
          <w:rFonts w:hint="eastAsia" w:ascii="Times New Roman" w:hAnsi="Times New Roman" w:cs="Times New Roman" w:eastAsiaTheme="minorEastAsia"/>
          <w:sz w:val="28"/>
          <w:szCs w:val="28"/>
          <w:lang w:val="en-US" w:eastAsia="zh-CN"/>
        </w:rPr>
        <w:t>本标准批准发布后，建议建立分级分层、集散结合的宣贯方式，通过官网公示、公众号或小程序推送等新媒体方式进行宣贯，尽快</w:t>
      </w:r>
      <w:r>
        <w:rPr>
          <w:rFonts w:hint="eastAsia" w:ascii="Times New Roman" w:hAnsi="Times New Roman" w:cs="Times New Roman"/>
          <w:sz w:val="28"/>
          <w:szCs w:val="28"/>
          <w:lang w:val="en-US" w:eastAsia="zh-CN"/>
        </w:rPr>
        <w:t>推动</w:t>
      </w:r>
      <w:r>
        <w:rPr>
          <w:rFonts w:hint="eastAsia" w:ascii="Times New Roman" w:hAnsi="Times New Roman" w:cs="Times New Roman" w:eastAsiaTheme="minorEastAsia"/>
          <w:sz w:val="28"/>
          <w:szCs w:val="28"/>
          <w:lang w:val="en-US" w:eastAsia="zh-CN"/>
        </w:rPr>
        <w:t>有关单位实施本标准，并在实践中反馈相关意见，为标准的不断修改、完善提供借鉴。</w:t>
      </w:r>
    </w:p>
    <w:p w14:paraId="1254EE66">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Times New Roman" w:hAnsi="Times New Roman" w:cs="Times New Roman" w:eastAsiaTheme="minorEastAsia"/>
          <w:sz w:val="28"/>
          <w:szCs w:val="28"/>
          <w:lang w:val="en-US" w:eastAsia="zh-CN"/>
        </w:rPr>
      </w:pPr>
      <w:r>
        <w:rPr>
          <w:rFonts w:hint="eastAsia" w:ascii="Times New Roman" w:hAnsi="Times New Roman" w:cs="Times New Roman"/>
          <w:sz w:val="28"/>
          <w:szCs w:val="28"/>
          <w:lang w:val="en-US" w:eastAsia="zh-CN"/>
        </w:rPr>
        <w:t>3.</w:t>
      </w:r>
      <w:r>
        <w:rPr>
          <w:rFonts w:hint="eastAsia" w:ascii="Times New Roman" w:hAnsi="Times New Roman" w:cs="Times New Roman" w:eastAsiaTheme="minorEastAsia"/>
          <w:sz w:val="28"/>
          <w:szCs w:val="28"/>
          <w:lang w:val="en-US" w:eastAsia="zh-CN"/>
        </w:rPr>
        <w:t>建议做好标准反馈和适用性评价，记录标准在应用中的具体效果，对于实用性不强、适用性差的条款及时反馈到行政部门和标准单位，以便采取相应的措施，提高标准实施效果。</w:t>
      </w:r>
    </w:p>
    <w:p w14:paraId="7B1BB16B">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Times New Roman" w:hAnsi="Times New Roman" w:cs="Times New Roman" w:eastAsiaTheme="minorEastAsia"/>
          <w:sz w:val="28"/>
          <w:szCs w:val="28"/>
          <w:lang w:val="en-US" w:eastAsia="zh-CN"/>
        </w:rPr>
      </w:pPr>
      <w:r>
        <w:rPr>
          <w:rFonts w:hint="eastAsia" w:ascii="Times New Roman" w:hAnsi="Times New Roman" w:cs="Times New Roman"/>
          <w:sz w:val="28"/>
          <w:szCs w:val="28"/>
          <w:lang w:val="en-US" w:eastAsia="zh-CN"/>
        </w:rPr>
        <w:t>4.</w:t>
      </w:r>
      <w:r>
        <w:rPr>
          <w:rFonts w:hint="eastAsia" w:ascii="Times New Roman" w:hAnsi="Times New Roman" w:cs="Times New Roman" w:eastAsiaTheme="minorEastAsia"/>
          <w:sz w:val="28"/>
          <w:szCs w:val="28"/>
          <w:lang w:val="en-US" w:eastAsia="zh-CN"/>
        </w:rPr>
        <w:t>建议标准起草单位继续深入研究，改进和完善标准的相关内容，同时加强与电动自行车锂离子充换电柜设计、推广、生产厂商等相关单位的交流合作，争取使标准</w:t>
      </w:r>
      <w:r>
        <w:rPr>
          <w:rFonts w:hint="eastAsia" w:ascii="Times New Roman" w:hAnsi="Times New Roman" w:cs="Times New Roman"/>
          <w:sz w:val="28"/>
          <w:szCs w:val="28"/>
          <w:lang w:val="en-US" w:eastAsia="zh-CN"/>
        </w:rPr>
        <w:t>应用</w:t>
      </w:r>
      <w:r>
        <w:rPr>
          <w:rFonts w:hint="eastAsia" w:ascii="Times New Roman" w:hAnsi="Times New Roman" w:cs="Times New Roman" w:eastAsiaTheme="minorEastAsia"/>
          <w:sz w:val="28"/>
          <w:szCs w:val="28"/>
          <w:lang w:val="en-US" w:eastAsia="zh-CN"/>
        </w:rPr>
        <w:t>范围更广泛。</w:t>
      </w:r>
    </w:p>
    <w:p w14:paraId="45FE9B4C">
      <w:pPr>
        <w:numPr>
          <w:ilvl w:val="0"/>
          <w:numId w:val="4"/>
        </w:numPr>
        <w:spacing w:line="560" w:lineRule="exact"/>
        <w:ind w:leftChars="0" w:firstLine="640" w:firstLineChars="200"/>
        <w:contextualSpacing/>
        <w:jc w:val="left"/>
        <w:outlineLvl w:val="9"/>
        <w:rPr>
          <w:rFonts w:hint="default" w:ascii="Times New Roman" w:hAnsi="Times New Roman" w:eastAsia="黑体" w:cs="Times New Roman"/>
          <w:b w:val="0"/>
          <w:sz w:val="32"/>
          <w:szCs w:val="32"/>
        </w:rPr>
      </w:pPr>
      <w:bookmarkStart w:id="27" w:name="_Toc30736"/>
      <w:bookmarkStart w:id="28" w:name="_Toc16208"/>
      <w:bookmarkStart w:id="29" w:name="_Toc9821_WPSOffice_Level1"/>
      <w:r>
        <w:rPr>
          <w:rFonts w:hint="default" w:ascii="Times New Roman" w:hAnsi="Times New Roman" w:eastAsia="黑体" w:cs="Times New Roman"/>
          <w:b w:val="0"/>
          <w:sz w:val="32"/>
          <w:szCs w:val="32"/>
        </w:rPr>
        <w:t>起草单位和起草人</w:t>
      </w:r>
      <w:bookmarkEnd w:id="27"/>
      <w:bookmarkEnd w:id="28"/>
      <w:bookmarkEnd w:id="29"/>
    </w:p>
    <w:p w14:paraId="73D5827B">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Times New Roman" w:hAnsi="Times New Roman" w:cs="Times New Roman" w:eastAsiaTheme="minorEastAsia"/>
          <w:color w:val="auto"/>
          <w:sz w:val="28"/>
          <w:szCs w:val="28"/>
          <w:lang w:val="en-US" w:eastAsia="zh-CN"/>
        </w:rPr>
      </w:pPr>
      <w:r>
        <w:rPr>
          <w:rFonts w:hint="eastAsia" w:ascii="Times New Roman" w:hAnsi="Times New Roman" w:cs="Times New Roman" w:eastAsiaTheme="minorEastAsia"/>
          <w:sz w:val="28"/>
          <w:szCs w:val="28"/>
          <w:lang w:val="en-US" w:eastAsia="zh-CN"/>
        </w:rPr>
        <w:t>本标准起草单位：江苏省安全生产科学研究院、</w:t>
      </w:r>
      <w:r>
        <w:rPr>
          <w:rFonts w:hint="eastAsia" w:ascii="Times New Roman" w:hAnsi="Times New Roman" w:cs="Times New Roman"/>
          <w:sz w:val="28"/>
          <w:szCs w:val="28"/>
          <w:lang w:val="en-US" w:eastAsia="zh-CN"/>
        </w:rPr>
        <w:t>江苏省应急管理厅、</w:t>
      </w:r>
      <w:r>
        <w:rPr>
          <w:rFonts w:hint="eastAsia" w:ascii="Times New Roman" w:hAnsi="Times New Roman" w:cs="Times New Roman" w:eastAsiaTheme="minorEastAsia"/>
          <w:sz w:val="28"/>
          <w:szCs w:val="28"/>
          <w:lang w:val="en-US" w:eastAsia="zh-CN"/>
        </w:rPr>
        <w:t>无锡市检验检测认证研究院（国家轻型电动自行车及电池产品质量检验检测中心）、铁塔能源有限公司江苏分公司、南京林业大学、无锡市消防救援支队、苏州星恒电源股份有限公司、无锡汉博新能源科技有限公司、江苏省自行车电动车协会、无锡市新吴区消防救援大队、无锡市锡山区消防救援大队、镇江经开区生态环境和应急管理局、中国铁塔股份有限公司无锡市分公司、江苏省科协企业创新服务中</w:t>
      </w:r>
      <w:r>
        <w:rPr>
          <w:rFonts w:hint="eastAsia" w:ascii="Times New Roman" w:hAnsi="Times New Roman" w:cs="Times New Roman" w:eastAsiaTheme="minorEastAsia"/>
          <w:color w:val="auto"/>
          <w:sz w:val="28"/>
          <w:szCs w:val="28"/>
          <w:lang w:val="en-US" w:eastAsia="zh-CN"/>
        </w:rPr>
        <w:t>心</w:t>
      </w:r>
      <w:r>
        <w:rPr>
          <w:rFonts w:hint="eastAsia" w:ascii="Times New Roman" w:hAnsi="Times New Roman" w:cs="Times New Roman"/>
          <w:color w:val="auto"/>
          <w:sz w:val="28"/>
          <w:szCs w:val="28"/>
          <w:lang w:val="en-US" w:eastAsia="zh-CN"/>
        </w:rPr>
        <w:t>、</w:t>
      </w:r>
      <w:r>
        <w:rPr>
          <w:rFonts w:hint="eastAsia" w:ascii="Times New Roman" w:hAnsi="Times New Roman" w:cs="Times New Roman" w:eastAsiaTheme="minorEastAsia"/>
          <w:b w:val="0"/>
          <w:bCs w:val="0"/>
          <w:color w:val="auto"/>
          <w:sz w:val="28"/>
          <w:szCs w:val="28"/>
          <w:lang w:val="en-US" w:eastAsia="zh-CN"/>
        </w:rPr>
        <w:t>南京京东方显示技术有限公司</w:t>
      </w:r>
      <w:r>
        <w:rPr>
          <w:rFonts w:hint="eastAsia" w:ascii="Times New Roman" w:hAnsi="Times New Roman" w:cs="Times New Roman" w:eastAsiaTheme="minorEastAsia"/>
          <w:color w:val="auto"/>
          <w:sz w:val="28"/>
          <w:szCs w:val="28"/>
          <w:lang w:val="en-US" w:eastAsia="zh-CN"/>
        </w:rPr>
        <w:t>，主要分工见表1。</w:t>
      </w:r>
    </w:p>
    <w:p w14:paraId="617B20F4">
      <w:pPr>
        <w:keepNext w:val="0"/>
        <w:keepLines w:val="0"/>
        <w:pageBreakBefore w:val="0"/>
        <w:widowControl w:val="0"/>
        <w:numPr>
          <w:ilvl w:val="-1"/>
          <w:numId w:val="0"/>
        </w:numPr>
        <w:kinsoku/>
        <w:wordWrap/>
        <w:overflowPunct/>
        <w:topLinePunct w:val="0"/>
        <w:autoSpaceDE/>
        <w:autoSpaceDN/>
        <w:bidi w:val="0"/>
        <w:adjustRightInd/>
        <w:snapToGrid/>
        <w:spacing w:after="157" w:afterLines="50" w:line="560" w:lineRule="exact"/>
        <w:ind w:leftChars="200" w:firstLine="0" w:firstLineChars="0"/>
        <w:contextualSpacing/>
        <w:jc w:val="center"/>
        <w:textAlignment w:val="auto"/>
        <w:outlineLvl w:val="9"/>
        <w:rPr>
          <w:rFonts w:hint="default" w:ascii="Times New Roman" w:hAnsi="Times New Roman" w:eastAsia="黑体" w:cs="Times New Roman"/>
          <w:b w:val="0"/>
          <w:sz w:val="24"/>
          <w:szCs w:val="24"/>
          <w:lang w:val="en-US" w:eastAsia="zh-CN"/>
        </w:rPr>
      </w:pPr>
      <w:bookmarkStart w:id="30" w:name="_Toc16"/>
      <w:bookmarkStart w:id="31" w:name="_Toc28473"/>
      <w:bookmarkStart w:id="32" w:name="_Toc22301_WPSOffice_Level1"/>
      <w:r>
        <w:rPr>
          <w:rFonts w:hint="eastAsia" w:ascii="Times New Roman" w:hAnsi="Times New Roman" w:eastAsia="黑体" w:cs="Times New Roman"/>
          <w:b w:val="0"/>
          <w:sz w:val="24"/>
          <w:szCs w:val="24"/>
          <w:lang w:val="en-US" w:eastAsia="zh-CN"/>
        </w:rPr>
        <w:t>表1 起草单位人员分工</w:t>
      </w:r>
      <w:bookmarkEnd w:id="30"/>
      <w:bookmarkEnd w:id="31"/>
      <w:bookmarkEnd w:id="32"/>
    </w:p>
    <w:tbl>
      <w:tblPr>
        <w:tblStyle w:val="10"/>
        <w:tblW w:w="893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00"/>
        <w:gridCol w:w="1050"/>
        <w:gridCol w:w="1300"/>
        <w:gridCol w:w="3787"/>
      </w:tblGrid>
      <w:tr w14:paraId="06E1C5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blHeader/>
          <w:jc w:val="center"/>
        </w:trPr>
        <w:tc>
          <w:tcPr>
            <w:tcW w:w="2800" w:type="dxa"/>
            <w:shd w:val="clear" w:color="auto" w:fill="auto"/>
            <w:vAlign w:val="center"/>
          </w:tcPr>
          <w:p w14:paraId="6106627D">
            <w:pPr>
              <w:pStyle w:val="25"/>
              <w:keepNext w:val="0"/>
              <w:keepLines w:val="0"/>
              <w:suppressLineNumbers w:val="0"/>
              <w:spacing w:before="0" w:beforeAutospacing="0" w:after="160" w:afterAutospacing="0"/>
              <w:ind w:left="0" w:right="0"/>
              <w:jc w:val="center"/>
              <w:rPr>
                <w:rFonts w:hint="eastAsia" w:ascii="Times New Roman" w:hAnsi="Times New Roman" w:cs="Times New Roman"/>
                <w:b/>
                <w:kern w:val="21"/>
                <w:sz w:val="24"/>
                <w:szCs w:val="24"/>
              </w:rPr>
            </w:pPr>
            <w:r>
              <w:rPr>
                <w:rFonts w:hint="eastAsia" w:ascii="Times New Roman" w:hAnsi="Times New Roman" w:cs="Times New Roman"/>
                <w:b/>
                <w:kern w:val="21"/>
                <w:sz w:val="24"/>
                <w:szCs w:val="24"/>
              </w:rPr>
              <w:t>起草单位</w:t>
            </w:r>
          </w:p>
        </w:tc>
        <w:tc>
          <w:tcPr>
            <w:tcW w:w="1050" w:type="dxa"/>
            <w:shd w:val="clear" w:color="auto" w:fill="auto"/>
            <w:vAlign w:val="center"/>
          </w:tcPr>
          <w:p w14:paraId="68ED0EFD">
            <w:pPr>
              <w:pStyle w:val="25"/>
              <w:keepNext w:val="0"/>
              <w:keepLines w:val="0"/>
              <w:suppressLineNumbers w:val="0"/>
              <w:spacing w:before="0" w:beforeAutospacing="0" w:after="160" w:afterAutospacing="0"/>
              <w:ind w:left="0" w:right="0" w:firstLine="0" w:firstLineChars="0"/>
              <w:jc w:val="center"/>
              <w:rPr>
                <w:rFonts w:hint="eastAsia" w:ascii="Times New Roman" w:hAnsi="Times New Roman" w:cs="Times New Roman"/>
                <w:b/>
                <w:kern w:val="21"/>
                <w:sz w:val="24"/>
                <w:szCs w:val="24"/>
              </w:rPr>
            </w:pPr>
            <w:r>
              <w:rPr>
                <w:rFonts w:hint="eastAsia" w:ascii="Times New Roman" w:hAnsi="Times New Roman" w:cs="Times New Roman"/>
                <w:b/>
                <w:kern w:val="21"/>
                <w:sz w:val="24"/>
                <w:szCs w:val="24"/>
              </w:rPr>
              <w:t>起草人</w:t>
            </w:r>
          </w:p>
        </w:tc>
        <w:tc>
          <w:tcPr>
            <w:tcW w:w="1300" w:type="dxa"/>
            <w:vAlign w:val="center"/>
          </w:tcPr>
          <w:p w14:paraId="353AFE9B">
            <w:pPr>
              <w:pStyle w:val="25"/>
              <w:keepNext w:val="0"/>
              <w:keepLines w:val="0"/>
              <w:suppressLineNumbers w:val="0"/>
              <w:spacing w:before="0" w:beforeAutospacing="0" w:after="160" w:afterAutospacing="0"/>
              <w:ind w:left="0" w:right="0" w:firstLine="0" w:firstLineChars="0"/>
              <w:jc w:val="center"/>
              <w:rPr>
                <w:rFonts w:hint="eastAsia" w:ascii="Times New Roman" w:hAnsi="Times New Roman" w:cs="Times New Roman"/>
                <w:b/>
                <w:kern w:val="21"/>
                <w:sz w:val="24"/>
                <w:szCs w:val="24"/>
              </w:rPr>
            </w:pPr>
            <w:r>
              <w:rPr>
                <w:rFonts w:hint="eastAsia" w:ascii="Times New Roman" w:hAnsi="Times New Roman" w:cs="Times New Roman"/>
                <w:b/>
                <w:kern w:val="21"/>
                <w:sz w:val="24"/>
                <w:szCs w:val="24"/>
              </w:rPr>
              <w:t>职称/职务</w:t>
            </w:r>
          </w:p>
        </w:tc>
        <w:tc>
          <w:tcPr>
            <w:tcW w:w="3787" w:type="dxa"/>
            <w:vAlign w:val="center"/>
          </w:tcPr>
          <w:p w14:paraId="642D0703">
            <w:pPr>
              <w:pStyle w:val="25"/>
              <w:keepNext w:val="0"/>
              <w:keepLines w:val="0"/>
              <w:suppressLineNumbers w:val="0"/>
              <w:spacing w:before="0" w:beforeAutospacing="0" w:after="160" w:afterAutospacing="0"/>
              <w:ind w:left="0" w:right="0"/>
              <w:jc w:val="center"/>
              <w:rPr>
                <w:rFonts w:hint="eastAsia" w:ascii="Times New Roman" w:hAnsi="Times New Roman" w:cs="Times New Roman"/>
                <w:b/>
                <w:kern w:val="21"/>
                <w:sz w:val="24"/>
                <w:szCs w:val="24"/>
              </w:rPr>
            </w:pPr>
            <w:r>
              <w:rPr>
                <w:rFonts w:hint="eastAsia" w:ascii="Times New Roman" w:hAnsi="Times New Roman" w:cs="Times New Roman"/>
                <w:b/>
                <w:kern w:val="21"/>
                <w:sz w:val="24"/>
                <w:szCs w:val="24"/>
              </w:rPr>
              <w:t>分工</w:t>
            </w:r>
          </w:p>
        </w:tc>
      </w:tr>
      <w:tr w14:paraId="746471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9" w:hRule="exact"/>
          <w:tblHeader/>
          <w:jc w:val="center"/>
        </w:trPr>
        <w:tc>
          <w:tcPr>
            <w:tcW w:w="2800" w:type="dxa"/>
            <w:vMerge w:val="restart"/>
            <w:shd w:val="clear" w:color="auto" w:fill="auto"/>
            <w:vAlign w:val="center"/>
          </w:tcPr>
          <w:p w14:paraId="21DB2A28">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rPr>
            </w:pPr>
            <w:r>
              <w:rPr>
                <w:rFonts w:hint="eastAsia" w:ascii="Times New Roman" w:hAnsi="Times New Roman" w:eastAsia="宋体" w:cs="Times New Roman"/>
                <w:b w:val="0"/>
                <w:bCs w:val="0"/>
                <w:color w:val="000000"/>
                <w:sz w:val="20"/>
                <w:szCs w:val="20"/>
              </w:rPr>
              <w:t>江苏省安全生产科学研究院</w:t>
            </w:r>
          </w:p>
        </w:tc>
        <w:tc>
          <w:tcPr>
            <w:tcW w:w="1050" w:type="dxa"/>
            <w:shd w:val="clear" w:color="auto" w:fill="auto"/>
            <w:vAlign w:val="center"/>
          </w:tcPr>
          <w:p w14:paraId="16E6D23F">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王宗宁</w:t>
            </w:r>
          </w:p>
        </w:tc>
        <w:tc>
          <w:tcPr>
            <w:tcW w:w="1300" w:type="dxa"/>
            <w:vAlign w:val="center"/>
          </w:tcPr>
          <w:p w14:paraId="5C98EFE4">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高工</w:t>
            </w:r>
          </w:p>
        </w:tc>
        <w:tc>
          <w:tcPr>
            <w:tcW w:w="3787" w:type="dxa"/>
            <w:vAlign w:val="center"/>
          </w:tcPr>
          <w:p w14:paraId="7693FBF6">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default" w:ascii="Times New Roman" w:hAnsi="Times New Roman" w:eastAsia="宋体" w:cs="Times New Roman"/>
                <w:b w:val="0"/>
                <w:bCs w:val="0"/>
                <w:color w:val="000000"/>
                <w:sz w:val="20"/>
                <w:szCs w:val="20"/>
              </w:rPr>
              <w:t>负责组织协调、总体进度、标准起草、质量</w:t>
            </w:r>
            <w:r>
              <w:rPr>
                <w:rFonts w:hint="eastAsia" w:ascii="Times New Roman" w:hAnsi="Times New Roman" w:eastAsia="宋体" w:cs="Times New Roman"/>
                <w:b w:val="0"/>
                <w:bCs w:val="0"/>
                <w:color w:val="000000"/>
                <w:sz w:val="20"/>
                <w:szCs w:val="20"/>
                <w:lang w:eastAsia="zh-CN"/>
              </w:rPr>
              <w:t>把关</w:t>
            </w:r>
            <w:r>
              <w:rPr>
                <w:rFonts w:hint="default" w:ascii="Times New Roman" w:hAnsi="Times New Roman" w:eastAsia="宋体" w:cs="Times New Roman"/>
                <w:b w:val="0"/>
                <w:bCs w:val="0"/>
                <w:color w:val="000000"/>
                <w:sz w:val="20"/>
                <w:szCs w:val="20"/>
              </w:rPr>
              <w:t>等各项工作</w:t>
            </w:r>
          </w:p>
        </w:tc>
      </w:tr>
      <w:tr w14:paraId="1601EF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9" w:hRule="exact"/>
          <w:tblHeader/>
          <w:jc w:val="center"/>
        </w:trPr>
        <w:tc>
          <w:tcPr>
            <w:tcW w:w="2800" w:type="dxa"/>
            <w:vMerge w:val="continue"/>
            <w:shd w:val="clear" w:color="auto" w:fill="auto"/>
            <w:vAlign w:val="center"/>
          </w:tcPr>
          <w:p w14:paraId="09F8300F">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rPr>
            </w:pPr>
          </w:p>
        </w:tc>
        <w:tc>
          <w:tcPr>
            <w:tcW w:w="1050" w:type="dxa"/>
            <w:shd w:val="clear" w:color="auto" w:fill="auto"/>
            <w:vAlign w:val="center"/>
          </w:tcPr>
          <w:p w14:paraId="115F34C6">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rPr>
              <w:t>周</w:t>
            </w:r>
            <w:r>
              <w:rPr>
                <w:rFonts w:hint="eastAsia" w:ascii="Times New Roman" w:hAnsi="Times New Roman" w:eastAsia="宋体" w:cs="Times New Roman"/>
                <w:b w:val="0"/>
                <w:bCs w:val="0"/>
                <w:color w:val="000000"/>
                <w:sz w:val="20"/>
                <w:szCs w:val="20"/>
                <w:lang w:val="en-US" w:eastAsia="zh-CN"/>
              </w:rPr>
              <w:t xml:space="preserve">  </w:t>
            </w:r>
            <w:r>
              <w:rPr>
                <w:rFonts w:hint="eastAsia" w:ascii="Times New Roman" w:hAnsi="Times New Roman" w:eastAsia="宋体" w:cs="Times New Roman"/>
                <w:b w:val="0"/>
                <w:bCs w:val="0"/>
                <w:color w:val="000000"/>
                <w:sz w:val="20"/>
                <w:szCs w:val="20"/>
              </w:rPr>
              <w:t>汝</w:t>
            </w:r>
          </w:p>
        </w:tc>
        <w:tc>
          <w:tcPr>
            <w:tcW w:w="1300" w:type="dxa"/>
            <w:vAlign w:val="center"/>
          </w:tcPr>
          <w:p w14:paraId="64A6ECBA">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rPr>
              <w:t>教授/院长</w:t>
            </w:r>
          </w:p>
        </w:tc>
        <w:tc>
          <w:tcPr>
            <w:tcW w:w="3787" w:type="dxa"/>
            <w:vAlign w:val="center"/>
          </w:tcPr>
          <w:p w14:paraId="301507CD">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default" w:ascii="Times New Roman" w:hAnsi="Times New Roman" w:eastAsia="宋体" w:cs="Times New Roman"/>
                <w:b w:val="0"/>
                <w:bCs w:val="0"/>
                <w:color w:val="000000"/>
                <w:sz w:val="20"/>
                <w:szCs w:val="20"/>
              </w:rPr>
              <w:t>负责技术路线的确立及各阶段工作</w:t>
            </w:r>
            <w:r>
              <w:rPr>
                <w:rFonts w:hint="eastAsia" w:ascii="Times New Roman" w:hAnsi="Times New Roman" w:eastAsia="宋体" w:cs="Times New Roman"/>
                <w:b w:val="0"/>
                <w:bCs w:val="0"/>
                <w:color w:val="000000"/>
                <w:sz w:val="20"/>
                <w:szCs w:val="20"/>
                <w:lang w:eastAsia="zh-CN"/>
              </w:rPr>
              <w:t>调度控制</w:t>
            </w:r>
          </w:p>
        </w:tc>
      </w:tr>
      <w:tr w14:paraId="4CBB4C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blHeader/>
          <w:jc w:val="center"/>
        </w:trPr>
        <w:tc>
          <w:tcPr>
            <w:tcW w:w="2800" w:type="dxa"/>
            <w:vMerge w:val="continue"/>
            <w:shd w:val="clear" w:color="auto" w:fill="auto"/>
            <w:vAlign w:val="center"/>
          </w:tcPr>
          <w:p w14:paraId="554456DB">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rPr>
            </w:pPr>
          </w:p>
        </w:tc>
        <w:tc>
          <w:tcPr>
            <w:tcW w:w="1050" w:type="dxa"/>
            <w:shd w:val="clear" w:color="auto" w:fill="auto"/>
            <w:vAlign w:val="center"/>
          </w:tcPr>
          <w:p w14:paraId="7D10D450">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rPr>
              <w:t>朱桂明</w:t>
            </w:r>
          </w:p>
        </w:tc>
        <w:tc>
          <w:tcPr>
            <w:tcW w:w="1300" w:type="dxa"/>
            <w:vAlign w:val="center"/>
          </w:tcPr>
          <w:p w14:paraId="700AAC5D">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副院长</w:t>
            </w:r>
          </w:p>
        </w:tc>
        <w:tc>
          <w:tcPr>
            <w:tcW w:w="3787" w:type="dxa"/>
            <w:vAlign w:val="center"/>
          </w:tcPr>
          <w:p w14:paraId="21D1F4C5">
            <w:pPr>
              <w:keepNext w:val="0"/>
              <w:keepLines w:val="0"/>
              <w:widowControl/>
              <w:suppressLineNumbers w:val="0"/>
              <w:snapToGrid w:val="0"/>
              <w:spacing w:before="0" w:beforeAutospacing="0" w:after="160" w:afterAutospacing="0" w:line="340" w:lineRule="exact"/>
              <w:ind w:left="0" w:right="0"/>
              <w:jc w:val="center"/>
              <w:rPr>
                <w:rFonts w:hint="default"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负责研讨、标准</w:t>
            </w:r>
            <w:r>
              <w:rPr>
                <w:rFonts w:hint="eastAsia" w:ascii="Times New Roman" w:hAnsi="Times New Roman" w:eastAsia="宋体" w:cs="Times New Roman"/>
                <w:b w:val="0"/>
                <w:bCs w:val="0"/>
                <w:color w:val="000000"/>
                <w:sz w:val="20"/>
                <w:szCs w:val="20"/>
              </w:rPr>
              <w:t>文本规范性</w:t>
            </w:r>
            <w:r>
              <w:rPr>
                <w:rFonts w:hint="eastAsia" w:ascii="Times New Roman" w:hAnsi="Times New Roman" w:eastAsia="宋体" w:cs="Times New Roman"/>
                <w:b w:val="0"/>
                <w:bCs w:val="0"/>
                <w:color w:val="000000"/>
                <w:sz w:val="20"/>
                <w:szCs w:val="20"/>
                <w:lang w:val="en-US" w:eastAsia="zh-CN"/>
              </w:rPr>
              <w:t>审定</w:t>
            </w:r>
          </w:p>
        </w:tc>
      </w:tr>
      <w:tr w14:paraId="21C963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blHeader/>
          <w:jc w:val="center"/>
        </w:trPr>
        <w:tc>
          <w:tcPr>
            <w:tcW w:w="2800" w:type="dxa"/>
            <w:vMerge w:val="continue"/>
            <w:shd w:val="clear" w:color="auto" w:fill="auto"/>
            <w:vAlign w:val="center"/>
          </w:tcPr>
          <w:p w14:paraId="31641440">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rPr>
            </w:pPr>
          </w:p>
        </w:tc>
        <w:tc>
          <w:tcPr>
            <w:tcW w:w="1050" w:type="dxa"/>
            <w:shd w:val="clear" w:color="auto" w:fill="auto"/>
            <w:vAlign w:val="center"/>
          </w:tcPr>
          <w:p w14:paraId="43FDFFDF">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王兴春</w:t>
            </w:r>
          </w:p>
        </w:tc>
        <w:tc>
          <w:tcPr>
            <w:tcW w:w="1300" w:type="dxa"/>
            <w:vAlign w:val="center"/>
          </w:tcPr>
          <w:p w14:paraId="048BABEE">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副院长</w:t>
            </w:r>
          </w:p>
        </w:tc>
        <w:tc>
          <w:tcPr>
            <w:tcW w:w="3787" w:type="dxa"/>
            <w:vAlign w:val="center"/>
          </w:tcPr>
          <w:p w14:paraId="5412AD42">
            <w:pPr>
              <w:keepNext w:val="0"/>
              <w:keepLines w:val="0"/>
              <w:widowControl/>
              <w:suppressLineNumbers w:val="0"/>
              <w:snapToGrid w:val="0"/>
              <w:spacing w:before="0" w:beforeAutospacing="0" w:after="160" w:afterAutospacing="0" w:line="340" w:lineRule="exact"/>
              <w:ind w:left="0" w:right="0"/>
              <w:jc w:val="center"/>
              <w:rPr>
                <w:rFonts w:hint="default"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技术负责人</w:t>
            </w:r>
          </w:p>
        </w:tc>
      </w:tr>
      <w:tr w14:paraId="0888AC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blHeader/>
          <w:jc w:val="center"/>
        </w:trPr>
        <w:tc>
          <w:tcPr>
            <w:tcW w:w="2800" w:type="dxa"/>
            <w:vMerge w:val="continue"/>
            <w:shd w:val="clear" w:color="auto" w:fill="auto"/>
            <w:vAlign w:val="center"/>
          </w:tcPr>
          <w:p w14:paraId="6C444CC1">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rPr>
            </w:pPr>
          </w:p>
        </w:tc>
        <w:tc>
          <w:tcPr>
            <w:tcW w:w="1050" w:type="dxa"/>
            <w:shd w:val="clear" w:color="auto" w:fill="auto"/>
            <w:vAlign w:val="center"/>
          </w:tcPr>
          <w:p w14:paraId="1D5C938F">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rPr>
            </w:pPr>
            <w:r>
              <w:rPr>
                <w:rFonts w:hint="eastAsia" w:ascii="Times New Roman" w:hAnsi="Times New Roman" w:eastAsia="宋体" w:cs="Times New Roman"/>
                <w:b w:val="0"/>
                <w:bCs w:val="0"/>
                <w:color w:val="000000"/>
                <w:sz w:val="20"/>
                <w:szCs w:val="20"/>
              </w:rPr>
              <w:t>高岳毅</w:t>
            </w:r>
          </w:p>
        </w:tc>
        <w:tc>
          <w:tcPr>
            <w:tcW w:w="1300" w:type="dxa"/>
            <w:vAlign w:val="center"/>
          </w:tcPr>
          <w:p w14:paraId="07954746">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rPr>
            </w:pPr>
            <w:r>
              <w:rPr>
                <w:rFonts w:hint="eastAsia" w:ascii="Times New Roman" w:hAnsi="Times New Roman" w:eastAsia="宋体" w:cs="Times New Roman"/>
                <w:b w:val="0"/>
                <w:bCs w:val="0"/>
                <w:color w:val="000000"/>
                <w:sz w:val="20"/>
                <w:szCs w:val="20"/>
              </w:rPr>
              <w:t>正高</w:t>
            </w:r>
          </w:p>
        </w:tc>
        <w:tc>
          <w:tcPr>
            <w:tcW w:w="3787" w:type="dxa"/>
            <w:vAlign w:val="center"/>
          </w:tcPr>
          <w:p w14:paraId="49FD64F6">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default" w:ascii="Times New Roman" w:hAnsi="Times New Roman" w:eastAsia="宋体" w:cs="Times New Roman"/>
                <w:b w:val="0"/>
                <w:bCs w:val="0"/>
                <w:color w:val="000000"/>
                <w:sz w:val="20"/>
                <w:szCs w:val="20"/>
              </w:rPr>
              <w:t>负责</w:t>
            </w:r>
            <w:r>
              <w:rPr>
                <w:rFonts w:hint="eastAsia" w:ascii="Times New Roman" w:hAnsi="Times New Roman" w:eastAsia="宋体" w:cs="Times New Roman"/>
                <w:b w:val="0"/>
                <w:bCs w:val="0"/>
                <w:color w:val="000000"/>
                <w:sz w:val="20"/>
                <w:szCs w:val="20"/>
                <w:lang w:val="en-US" w:eastAsia="zh-CN"/>
              </w:rPr>
              <w:t>文件审核</w:t>
            </w:r>
          </w:p>
        </w:tc>
      </w:tr>
      <w:tr w14:paraId="5548E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blHeader/>
          <w:jc w:val="center"/>
        </w:trPr>
        <w:tc>
          <w:tcPr>
            <w:tcW w:w="2800" w:type="dxa"/>
            <w:vMerge w:val="continue"/>
            <w:shd w:val="clear" w:color="auto" w:fill="auto"/>
            <w:vAlign w:val="center"/>
          </w:tcPr>
          <w:p w14:paraId="34925C01">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rPr>
            </w:pPr>
            <w:bookmarkStart w:id="33" w:name="_GoBack" w:colFirst="1" w:colLast="1"/>
          </w:p>
        </w:tc>
        <w:tc>
          <w:tcPr>
            <w:tcW w:w="1050" w:type="dxa"/>
            <w:shd w:val="clear" w:color="auto" w:fill="auto"/>
            <w:vAlign w:val="center"/>
          </w:tcPr>
          <w:p w14:paraId="065545E4">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eastAsia="zh-CN"/>
              </w:rPr>
            </w:pPr>
            <w:r>
              <w:rPr>
                <w:rFonts w:hint="eastAsia" w:ascii="Times New Roman" w:hAnsi="Times New Roman" w:eastAsia="宋体" w:cs="Times New Roman"/>
                <w:b w:val="0"/>
                <w:bCs w:val="0"/>
                <w:color w:val="000000"/>
                <w:sz w:val="20"/>
                <w:szCs w:val="20"/>
                <w:lang w:val="en-US" w:eastAsia="zh-CN"/>
              </w:rPr>
              <w:t>高  健</w:t>
            </w:r>
          </w:p>
        </w:tc>
        <w:tc>
          <w:tcPr>
            <w:tcW w:w="1300" w:type="dxa"/>
            <w:vAlign w:val="center"/>
          </w:tcPr>
          <w:p w14:paraId="2910FDAD">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rPr>
            </w:pPr>
            <w:r>
              <w:rPr>
                <w:rFonts w:hint="eastAsia" w:ascii="Times New Roman" w:hAnsi="Times New Roman" w:eastAsia="宋体" w:cs="Times New Roman"/>
                <w:b w:val="0"/>
                <w:bCs w:val="0"/>
                <w:color w:val="000000"/>
                <w:sz w:val="20"/>
                <w:szCs w:val="20"/>
              </w:rPr>
              <w:t>正高</w:t>
            </w:r>
          </w:p>
        </w:tc>
        <w:tc>
          <w:tcPr>
            <w:tcW w:w="3787" w:type="dxa"/>
            <w:vAlign w:val="center"/>
          </w:tcPr>
          <w:p w14:paraId="03CFF0E4">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负责</w:t>
            </w:r>
            <w:r>
              <w:rPr>
                <w:rFonts w:hint="eastAsia" w:ascii="Times New Roman" w:hAnsi="Times New Roman" w:eastAsia="宋体" w:cs="Times New Roman"/>
                <w:b w:val="0"/>
                <w:bCs w:val="0"/>
                <w:color w:val="000000"/>
                <w:sz w:val="20"/>
                <w:szCs w:val="20"/>
              </w:rPr>
              <w:t>文本格式、语言规范性审定</w:t>
            </w:r>
          </w:p>
        </w:tc>
      </w:tr>
      <w:tr w14:paraId="459D4D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blHeader/>
          <w:jc w:val="center"/>
        </w:trPr>
        <w:tc>
          <w:tcPr>
            <w:tcW w:w="2800" w:type="dxa"/>
            <w:vMerge w:val="continue"/>
            <w:shd w:val="clear" w:color="auto" w:fill="auto"/>
            <w:vAlign w:val="center"/>
          </w:tcPr>
          <w:p w14:paraId="6674E965">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rPr>
            </w:pPr>
          </w:p>
        </w:tc>
        <w:tc>
          <w:tcPr>
            <w:tcW w:w="1050" w:type="dxa"/>
            <w:shd w:val="clear" w:color="auto" w:fill="auto"/>
            <w:vAlign w:val="center"/>
          </w:tcPr>
          <w:p w14:paraId="0384B0E6">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周献峰</w:t>
            </w:r>
          </w:p>
        </w:tc>
        <w:tc>
          <w:tcPr>
            <w:tcW w:w="1300" w:type="dxa"/>
            <w:vAlign w:val="center"/>
          </w:tcPr>
          <w:p w14:paraId="28CD1286">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正高</w:t>
            </w:r>
          </w:p>
        </w:tc>
        <w:tc>
          <w:tcPr>
            <w:tcW w:w="3787" w:type="dxa"/>
            <w:vAlign w:val="center"/>
          </w:tcPr>
          <w:p w14:paraId="5EF5B63B">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rPr>
              <w:t>负责</w:t>
            </w:r>
            <w:r>
              <w:rPr>
                <w:rFonts w:hint="eastAsia" w:ascii="Times New Roman" w:hAnsi="Times New Roman" w:eastAsia="宋体" w:cs="Times New Roman"/>
                <w:b w:val="0"/>
                <w:bCs w:val="0"/>
                <w:color w:val="000000"/>
                <w:sz w:val="20"/>
                <w:szCs w:val="20"/>
                <w:lang w:eastAsia="zh-CN"/>
              </w:rPr>
              <w:t>开展</w:t>
            </w:r>
            <w:r>
              <w:rPr>
                <w:rFonts w:hint="eastAsia" w:ascii="Times New Roman" w:hAnsi="Times New Roman" w:eastAsia="宋体" w:cs="Times New Roman"/>
                <w:b w:val="0"/>
                <w:bCs w:val="0"/>
                <w:color w:val="000000"/>
                <w:sz w:val="20"/>
                <w:szCs w:val="20"/>
              </w:rPr>
              <w:t>实地调研</w:t>
            </w:r>
            <w:r>
              <w:rPr>
                <w:rFonts w:hint="eastAsia" w:ascii="Times New Roman" w:hAnsi="Times New Roman" w:eastAsia="宋体" w:cs="Times New Roman"/>
                <w:b w:val="0"/>
                <w:bCs w:val="0"/>
                <w:color w:val="000000"/>
                <w:sz w:val="20"/>
                <w:szCs w:val="20"/>
                <w:lang w:eastAsia="zh-CN"/>
              </w:rPr>
              <w:t>，</w:t>
            </w:r>
            <w:r>
              <w:rPr>
                <w:rFonts w:hint="eastAsia" w:ascii="Times New Roman" w:hAnsi="Times New Roman" w:eastAsia="宋体" w:cs="Times New Roman"/>
                <w:b w:val="0"/>
                <w:bCs w:val="0"/>
                <w:color w:val="000000"/>
                <w:sz w:val="20"/>
                <w:szCs w:val="20"/>
              </w:rPr>
              <w:t>提供调研素材</w:t>
            </w:r>
          </w:p>
        </w:tc>
      </w:tr>
      <w:tr w14:paraId="4F9CF7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blHeader/>
          <w:jc w:val="center"/>
        </w:trPr>
        <w:tc>
          <w:tcPr>
            <w:tcW w:w="2800" w:type="dxa"/>
            <w:vMerge w:val="continue"/>
            <w:shd w:val="clear" w:color="auto" w:fill="auto"/>
            <w:vAlign w:val="center"/>
          </w:tcPr>
          <w:p w14:paraId="0FB4FEE1">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rPr>
            </w:pPr>
          </w:p>
        </w:tc>
        <w:tc>
          <w:tcPr>
            <w:tcW w:w="1050" w:type="dxa"/>
            <w:shd w:val="clear" w:color="auto" w:fill="auto"/>
            <w:vAlign w:val="center"/>
          </w:tcPr>
          <w:p w14:paraId="1C34D65E">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王  帅</w:t>
            </w:r>
          </w:p>
        </w:tc>
        <w:tc>
          <w:tcPr>
            <w:tcW w:w="1300" w:type="dxa"/>
            <w:vAlign w:val="center"/>
          </w:tcPr>
          <w:p w14:paraId="6EEAAE41">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高工</w:t>
            </w:r>
          </w:p>
        </w:tc>
        <w:tc>
          <w:tcPr>
            <w:tcW w:w="3787" w:type="dxa"/>
            <w:vAlign w:val="center"/>
          </w:tcPr>
          <w:p w14:paraId="341A6064">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rPr>
              <w:t>技术主要负责人之一</w:t>
            </w:r>
          </w:p>
        </w:tc>
      </w:tr>
      <w:bookmarkEnd w:id="33"/>
      <w:tr w14:paraId="073FCD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blHeader/>
          <w:jc w:val="center"/>
        </w:trPr>
        <w:tc>
          <w:tcPr>
            <w:tcW w:w="2800" w:type="dxa"/>
            <w:vMerge w:val="restart"/>
            <w:shd w:val="clear" w:color="auto" w:fill="auto"/>
            <w:vAlign w:val="center"/>
          </w:tcPr>
          <w:p w14:paraId="2FE46F52">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rPr>
            </w:pPr>
            <w:r>
              <w:rPr>
                <w:rFonts w:hint="eastAsia" w:ascii="Times New Roman" w:hAnsi="Times New Roman" w:eastAsia="宋体" w:cs="Times New Roman"/>
                <w:b w:val="0"/>
                <w:bCs w:val="0"/>
                <w:color w:val="000000"/>
                <w:sz w:val="20"/>
                <w:szCs w:val="20"/>
              </w:rPr>
              <w:t>江苏省应急管理厅</w:t>
            </w:r>
          </w:p>
        </w:tc>
        <w:tc>
          <w:tcPr>
            <w:tcW w:w="1050" w:type="dxa"/>
            <w:shd w:val="clear" w:color="auto" w:fill="auto"/>
            <w:vAlign w:val="center"/>
          </w:tcPr>
          <w:p w14:paraId="1CCCF6E3">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朱  劼</w:t>
            </w:r>
          </w:p>
        </w:tc>
        <w:tc>
          <w:tcPr>
            <w:tcW w:w="1300" w:type="dxa"/>
            <w:vAlign w:val="center"/>
          </w:tcPr>
          <w:p w14:paraId="11A22CBF">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rPr>
            </w:pPr>
            <w:r>
              <w:rPr>
                <w:rFonts w:hint="eastAsia" w:ascii="Times New Roman" w:hAnsi="Times New Roman" w:eastAsia="宋体" w:cs="Times New Roman"/>
                <w:b w:val="0"/>
                <w:bCs w:val="0"/>
                <w:color w:val="000000"/>
                <w:sz w:val="20"/>
                <w:szCs w:val="20"/>
              </w:rPr>
              <w:t>处长</w:t>
            </w:r>
          </w:p>
        </w:tc>
        <w:tc>
          <w:tcPr>
            <w:tcW w:w="3787" w:type="dxa"/>
            <w:vAlign w:val="center"/>
          </w:tcPr>
          <w:p w14:paraId="51F1AD3E">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rPr>
            </w:pPr>
            <w:r>
              <w:rPr>
                <w:rFonts w:hint="eastAsia" w:ascii="Times New Roman" w:hAnsi="Times New Roman" w:eastAsia="宋体" w:cs="Times New Roman"/>
                <w:b w:val="0"/>
                <w:bCs w:val="0"/>
                <w:color w:val="000000"/>
                <w:sz w:val="20"/>
                <w:szCs w:val="20"/>
                <w:lang w:val="en-US" w:eastAsia="zh-CN"/>
              </w:rPr>
              <w:t>确立</w:t>
            </w:r>
            <w:r>
              <w:rPr>
                <w:rFonts w:hint="default" w:ascii="Times New Roman" w:hAnsi="Times New Roman" w:eastAsia="宋体" w:cs="Times New Roman"/>
                <w:b w:val="0"/>
                <w:bCs w:val="0"/>
                <w:color w:val="000000"/>
                <w:sz w:val="20"/>
                <w:szCs w:val="20"/>
              </w:rPr>
              <w:t>技术路线</w:t>
            </w:r>
          </w:p>
        </w:tc>
      </w:tr>
      <w:tr w14:paraId="1DF09C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blHeader/>
          <w:jc w:val="center"/>
        </w:trPr>
        <w:tc>
          <w:tcPr>
            <w:tcW w:w="2800" w:type="dxa"/>
            <w:vMerge w:val="continue"/>
            <w:shd w:val="clear" w:color="auto" w:fill="auto"/>
            <w:vAlign w:val="center"/>
          </w:tcPr>
          <w:p w14:paraId="6B55AFFA">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rPr>
            </w:pPr>
          </w:p>
        </w:tc>
        <w:tc>
          <w:tcPr>
            <w:tcW w:w="1050" w:type="dxa"/>
            <w:shd w:val="clear" w:color="auto" w:fill="auto"/>
            <w:vAlign w:val="center"/>
          </w:tcPr>
          <w:p w14:paraId="60E292E0">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陶小荣</w:t>
            </w:r>
          </w:p>
        </w:tc>
        <w:tc>
          <w:tcPr>
            <w:tcW w:w="1300" w:type="dxa"/>
            <w:vAlign w:val="center"/>
          </w:tcPr>
          <w:p w14:paraId="377BC93E">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rPr>
            </w:pPr>
            <w:r>
              <w:rPr>
                <w:rFonts w:hint="eastAsia" w:ascii="Times New Roman" w:hAnsi="Times New Roman" w:eastAsia="宋体" w:cs="Times New Roman"/>
                <w:b w:val="0"/>
                <w:bCs w:val="0"/>
                <w:color w:val="000000"/>
                <w:sz w:val="20"/>
                <w:szCs w:val="20"/>
              </w:rPr>
              <w:t>四级调研员</w:t>
            </w:r>
          </w:p>
        </w:tc>
        <w:tc>
          <w:tcPr>
            <w:tcW w:w="3787" w:type="dxa"/>
            <w:vAlign w:val="center"/>
          </w:tcPr>
          <w:p w14:paraId="535C9197">
            <w:pPr>
              <w:keepNext w:val="0"/>
              <w:keepLines w:val="0"/>
              <w:widowControl/>
              <w:suppressLineNumbers w:val="0"/>
              <w:snapToGrid w:val="0"/>
              <w:spacing w:before="0" w:beforeAutospacing="0" w:after="160" w:afterAutospacing="0" w:line="340" w:lineRule="exact"/>
              <w:ind w:left="0" w:right="0"/>
              <w:jc w:val="center"/>
              <w:rPr>
                <w:rFonts w:hint="default"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eastAsia="zh-CN"/>
              </w:rPr>
              <w:t>分</w:t>
            </w:r>
            <w:r>
              <w:rPr>
                <w:rFonts w:hint="eastAsia" w:ascii="Times New Roman" w:hAnsi="Times New Roman" w:eastAsia="宋体" w:cs="Times New Roman"/>
                <w:b w:val="0"/>
                <w:bCs w:val="0"/>
                <w:color w:val="000000"/>
                <w:sz w:val="20"/>
                <w:szCs w:val="20"/>
                <w:lang w:val="en-US" w:eastAsia="zh-CN"/>
              </w:rPr>
              <w:t>阶段安排工作，</w:t>
            </w:r>
            <w:r>
              <w:rPr>
                <w:rFonts w:hint="default" w:ascii="Times New Roman" w:hAnsi="Times New Roman" w:eastAsia="宋体" w:cs="Times New Roman"/>
                <w:b w:val="0"/>
                <w:bCs w:val="0"/>
                <w:color w:val="000000"/>
                <w:sz w:val="20"/>
                <w:szCs w:val="20"/>
              </w:rPr>
              <w:t>协助</w:t>
            </w:r>
            <w:r>
              <w:rPr>
                <w:rFonts w:hint="eastAsia" w:ascii="Times New Roman" w:hAnsi="Times New Roman" w:eastAsia="宋体" w:cs="Times New Roman"/>
                <w:b w:val="0"/>
                <w:bCs w:val="0"/>
                <w:color w:val="000000"/>
                <w:sz w:val="20"/>
                <w:szCs w:val="20"/>
                <w:lang w:eastAsia="zh-CN"/>
              </w:rPr>
              <w:t>开展</w:t>
            </w:r>
            <w:r>
              <w:rPr>
                <w:rFonts w:hint="eastAsia" w:ascii="Times New Roman" w:hAnsi="Times New Roman" w:eastAsia="宋体" w:cs="Times New Roman"/>
                <w:b w:val="0"/>
                <w:bCs w:val="0"/>
                <w:color w:val="000000"/>
                <w:sz w:val="20"/>
                <w:szCs w:val="20"/>
                <w:lang w:val="en-US" w:eastAsia="zh-CN"/>
              </w:rPr>
              <w:t>调研</w:t>
            </w:r>
          </w:p>
        </w:tc>
      </w:tr>
      <w:tr w14:paraId="2FD433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blHeader/>
          <w:jc w:val="center"/>
        </w:trPr>
        <w:tc>
          <w:tcPr>
            <w:tcW w:w="2800" w:type="dxa"/>
            <w:shd w:val="clear" w:color="auto" w:fill="auto"/>
            <w:vAlign w:val="center"/>
          </w:tcPr>
          <w:p w14:paraId="4FAFF8EC">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无锡市消防救援支队</w:t>
            </w:r>
          </w:p>
        </w:tc>
        <w:tc>
          <w:tcPr>
            <w:tcW w:w="1050" w:type="dxa"/>
            <w:shd w:val="clear" w:color="auto" w:fill="auto"/>
            <w:vAlign w:val="center"/>
          </w:tcPr>
          <w:p w14:paraId="0B6AA14C">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黄龙仁</w:t>
            </w:r>
          </w:p>
        </w:tc>
        <w:tc>
          <w:tcPr>
            <w:tcW w:w="1300" w:type="dxa"/>
            <w:vAlign w:val="center"/>
          </w:tcPr>
          <w:p w14:paraId="7924FCDE">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高工</w:t>
            </w:r>
          </w:p>
        </w:tc>
        <w:tc>
          <w:tcPr>
            <w:tcW w:w="3787" w:type="dxa"/>
            <w:vAlign w:val="center"/>
          </w:tcPr>
          <w:p w14:paraId="2F1AE882">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rPr>
              <w:t>技术主要负责人之一</w:t>
            </w:r>
          </w:p>
        </w:tc>
      </w:tr>
      <w:tr w14:paraId="78C4FE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blHeader/>
          <w:jc w:val="center"/>
        </w:trPr>
        <w:tc>
          <w:tcPr>
            <w:tcW w:w="2800" w:type="dxa"/>
            <w:shd w:val="clear" w:color="auto" w:fill="auto"/>
            <w:vAlign w:val="center"/>
          </w:tcPr>
          <w:p w14:paraId="442CDC1B">
            <w:pPr>
              <w:keepNext w:val="0"/>
              <w:keepLines w:val="0"/>
              <w:widowControl/>
              <w:suppressLineNumbers w:val="0"/>
              <w:snapToGrid w:val="0"/>
              <w:spacing w:before="0" w:beforeAutospacing="0" w:after="160" w:afterAutospacing="0" w:line="340" w:lineRule="exact"/>
              <w:ind w:left="0" w:right="0"/>
              <w:jc w:val="center"/>
              <w:rPr>
                <w:rFonts w:hint="default"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无锡市新吴区消防救援大队</w:t>
            </w:r>
          </w:p>
        </w:tc>
        <w:tc>
          <w:tcPr>
            <w:tcW w:w="1050" w:type="dxa"/>
            <w:shd w:val="clear" w:color="auto" w:fill="auto"/>
            <w:vAlign w:val="center"/>
          </w:tcPr>
          <w:p w14:paraId="6E27ED7B">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赵  彬</w:t>
            </w:r>
          </w:p>
        </w:tc>
        <w:tc>
          <w:tcPr>
            <w:tcW w:w="1300" w:type="dxa"/>
            <w:vAlign w:val="center"/>
          </w:tcPr>
          <w:p w14:paraId="1ADEEEDF">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大队长</w:t>
            </w:r>
          </w:p>
        </w:tc>
        <w:tc>
          <w:tcPr>
            <w:tcW w:w="3787" w:type="dxa"/>
            <w:shd w:val="clear" w:color="auto" w:fill="auto"/>
            <w:vAlign w:val="center"/>
          </w:tcPr>
          <w:p w14:paraId="33DE6FA1">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rPr>
              <w:t>技术主要负责人之一</w:t>
            </w:r>
          </w:p>
        </w:tc>
      </w:tr>
      <w:tr w14:paraId="467782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blHeader/>
          <w:jc w:val="center"/>
        </w:trPr>
        <w:tc>
          <w:tcPr>
            <w:tcW w:w="2800" w:type="dxa"/>
            <w:shd w:val="clear" w:color="auto" w:fill="auto"/>
            <w:vAlign w:val="center"/>
          </w:tcPr>
          <w:p w14:paraId="78F958F2">
            <w:pPr>
              <w:keepNext w:val="0"/>
              <w:keepLines w:val="0"/>
              <w:widowControl/>
              <w:suppressLineNumbers w:val="0"/>
              <w:snapToGrid w:val="0"/>
              <w:spacing w:before="0" w:beforeAutospacing="0" w:after="160" w:afterAutospacing="0" w:line="340" w:lineRule="exact"/>
              <w:ind w:left="0" w:right="0"/>
              <w:jc w:val="center"/>
              <w:rPr>
                <w:rFonts w:hint="default"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无锡市锡山区消防救援大队</w:t>
            </w:r>
          </w:p>
        </w:tc>
        <w:tc>
          <w:tcPr>
            <w:tcW w:w="1050" w:type="dxa"/>
            <w:shd w:val="clear" w:color="auto" w:fill="auto"/>
            <w:vAlign w:val="center"/>
          </w:tcPr>
          <w:p w14:paraId="2907BBCB">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司鲁铭</w:t>
            </w:r>
          </w:p>
        </w:tc>
        <w:tc>
          <w:tcPr>
            <w:tcW w:w="1300" w:type="dxa"/>
            <w:vAlign w:val="center"/>
          </w:tcPr>
          <w:p w14:paraId="55B82B2B">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工程师</w:t>
            </w:r>
          </w:p>
        </w:tc>
        <w:tc>
          <w:tcPr>
            <w:tcW w:w="3787" w:type="dxa"/>
            <w:vAlign w:val="center"/>
          </w:tcPr>
          <w:p w14:paraId="7BC951BF">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default" w:ascii="Times New Roman" w:hAnsi="Times New Roman" w:eastAsia="宋体" w:cs="Times New Roman"/>
                <w:b w:val="0"/>
                <w:bCs w:val="0"/>
                <w:color w:val="000000"/>
                <w:sz w:val="20"/>
                <w:szCs w:val="20"/>
              </w:rPr>
              <w:t>协助开展调研，参与讨论及技术指标确定</w:t>
            </w:r>
          </w:p>
        </w:tc>
      </w:tr>
      <w:tr w14:paraId="679384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blHeader/>
          <w:jc w:val="center"/>
        </w:trPr>
        <w:tc>
          <w:tcPr>
            <w:tcW w:w="2800" w:type="dxa"/>
            <w:shd w:val="clear" w:color="auto" w:fill="auto"/>
            <w:vAlign w:val="center"/>
          </w:tcPr>
          <w:p w14:paraId="7B2250B2">
            <w:pPr>
              <w:keepNext w:val="0"/>
              <w:keepLines w:val="0"/>
              <w:widowControl/>
              <w:suppressLineNumbers w:val="0"/>
              <w:snapToGrid w:val="0"/>
              <w:spacing w:before="0" w:beforeAutospacing="0" w:after="160" w:afterAutospacing="0" w:line="340" w:lineRule="exact"/>
              <w:ind w:left="0" w:right="0"/>
              <w:jc w:val="center"/>
              <w:rPr>
                <w:rFonts w:hint="default"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镇江经开区生态环境和应急管理局</w:t>
            </w:r>
          </w:p>
        </w:tc>
        <w:tc>
          <w:tcPr>
            <w:tcW w:w="1050" w:type="dxa"/>
            <w:shd w:val="clear" w:color="auto" w:fill="auto"/>
            <w:vAlign w:val="center"/>
          </w:tcPr>
          <w:p w14:paraId="77A4BA1B">
            <w:pPr>
              <w:keepNext w:val="0"/>
              <w:keepLines w:val="0"/>
              <w:widowControl/>
              <w:suppressLineNumbers w:val="0"/>
              <w:snapToGrid w:val="0"/>
              <w:spacing w:before="0" w:beforeAutospacing="0" w:after="160" w:afterAutospacing="0" w:line="340" w:lineRule="exact"/>
              <w:ind w:left="0" w:right="0"/>
              <w:jc w:val="center"/>
              <w:rPr>
                <w:rFonts w:hint="default"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李鹏飞</w:t>
            </w:r>
          </w:p>
        </w:tc>
        <w:tc>
          <w:tcPr>
            <w:tcW w:w="1300" w:type="dxa"/>
            <w:vAlign w:val="center"/>
          </w:tcPr>
          <w:p w14:paraId="24EEC372">
            <w:pPr>
              <w:keepNext w:val="0"/>
              <w:keepLines w:val="0"/>
              <w:widowControl/>
              <w:suppressLineNumbers w:val="0"/>
              <w:snapToGrid w:val="0"/>
              <w:spacing w:before="0" w:beforeAutospacing="0" w:after="160" w:afterAutospacing="0" w:line="340" w:lineRule="exact"/>
              <w:ind w:left="0" w:right="0"/>
              <w:jc w:val="center"/>
              <w:rPr>
                <w:rFonts w:hint="default"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科长</w:t>
            </w:r>
          </w:p>
        </w:tc>
        <w:tc>
          <w:tcPr>
            <w:tcW w:w="3787" w:type="dxa"/>
            <w:vAlign w:val="center"/>
          </w:tcPr>
          <w:p w14:paraId="4DD07B0E">
            <w:pPr>
              <w:keepNext w:val="0"/>
              <w:keepLines w:val="0"/>
              <w:widowControl/>
              <w:suppressLineNumbers w:val="0"/>
              <w:snapToGrid w:val="0"/>
              <w:spacing w:before="0" w:beforeAutospacing="0" w:after="160" w:afterAutospacing="0" w:line="340" w:lineRule="exact"/>
              <w:ind w:left="0" w:right="0"/>
              <w:jc w:val="center"/>
              <w:rPr>
                <w:rFonts w:hint="default" w:ascii="Times New Roman" w:hAnsi="Times New Roman" w:eastAsia="宋体" w:cs="Times New Roman"/>
                <w:b w:val="0"/>
                <w:bCs w:val="0"/>
                <w:color w:val="000000"/>
                <w:sz w:val="20"/>
                <w:szCs w:val="20"/>
              </w:rPr>
            </w:pPr>
            <w:r>
              <w:rPr>
                <w:rFonts w:hint="default" w:ascii="Times New Roman" w:hAnsi="Times New Roman" w:eastAsia="宋体" w:cs="Times New Roman"/>
                <w:b w:val="0"/>
                <w:bCs w:val="0"/>
                <w:color w:val="000000"/>
                <w:sz w:val="20"/>
                <w:szCs w:val="20"/>
              </w:rPr>
              <w:t>协助开展调研，参与讨论及技术指标确定</w:t>
            </w:r>
          </w:p>
        </w:tc>
      </w:tr>
      <w:tr w14:paraId="4405F6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blHeader/>
          <w:jc w:val="center"/>
        </w:trPr>
        <w:tc>
          <w:tcPr>
            <w:tcW w:w="2800" w:type="dxa"/>
            <w:shd w:val="clear" w:color="auto" w:fill="auto"/>
            <w:vAlign w:val="center"/>
          </w:tcPr>
          <w:p w14:paraId="0ACC70C7">
            <w:pPr>
              <w:keepNext w:val="0"/>
              <w:keepLines w:val="0"/>
              <w:widowControl/>
              <w:suppressLineNumbers w:val="0"/>
              <w:snapToGrid w:val="0"/>
              <w:spacing w:before="0" w:beforeAutospacing="0" w:after="160" w:afterAutospacing="0" w:line="340" w:lineRule="exact"/>
              <w:ind w:left="0" w:right="0"/>
              <w:jc w:val="center"/>
              <w:rPr>
                <w:rFonts w:hint="default" w:ascii="Times New Roman" w:hAnsi="Times New Roman" w:eastAsia="宋体" w:cs="Times New Roman"/>
                <w:b w:val="0"/>
                <w:bCs w:val="0"/>
                <w:color w:val="auto"/>
                <w:sz w:val="20"/>
                <w:szCs w:val="20"/>
                <w:lang w:val="en-US" w:eastAsia="zh-CN"/>
              </w:rPr>
            </w:pPr>
            <w:r>
              <w:rPr>
                <w:rFonts w:hint="default" w:ascii="Times New Roman" w:hAnsi="Times New Roman" w:eastAsia="宋体" w:cs="Times New Roman"/>
                <w:b w:val="0"/>
                <w:bCs w:val="0"/>
                <w:color w:val="auto"/>
                <w:sz w:val="20"/>
                <w:szCs w:val="20"/>
                <w:lang w:val="en-US" w:eastAsia="zh-CN"/>
              </w:rPr>
              <w:t>南京林业大学</w:t>
            </w:r>
          </w:p>
        </w:tc>
        <w:tc>
          <w:tcPr>
            <w:tcW w:w="1050" w:type="dxa"/>
            <w:shd w:val="clear" w:color="auto" w:fill="auto"/>
            <w:vAlign w:val="center"/>
          </w:tcPr>
          <w:p w14:paraId="78DFDE55">
            <w:pPr>
              <w:keepNext w:val="0"/>
              <w:keepLines w:val="0"/>
              <w:widowControl/>
              <w:suppressLineNumbers w:val="0"/>
              <w:snapToGrid w:val="0"/>
              <w:spacing w:before="0" w:beforeAutospacing="0" w:after="160" w:afterAutospacing="0" w:line="340" w:lineRule="exact"/>
              <w:ind w:left="0" w:right="0"/>
              <w:jc w:val="center"/>
              <w:rPr>
                <w:rFonts w:hint="default" w:ascii="Times New Roman" w:hAnsi="Times New Roman" w:eastAsia="宋体" w:cs="Times New Roman"/>
                <w:b w:val="0"/>
                <w:bCs w:val="0"/>
                <w:color w:val="auto"/>
                <w:sz w:val="20"/>
                <w:szCs w:val="20"/>
                <w:lang w:val="en-US" w:eastAsia="zh-CN"/>
              </w:rPr>
            </w:pPr>
            <w:r>
              <w:rPr>
                <w:rFonts w:hint="default" w:ascii="Times New Roman" w:hAnsi="Times New Roman" w:eastAsia="宋体" w:cs="Times New Roman"/>
                <w:b w:val="0"/>
                <w:bCs w:val="0"/>
                <w:color w:val="auto"/>
                <w:sz w:val="20"/>
                <w:szCs w:val="20"/>
                <w:lang w:val="en-US" w:eastAsia="zh-CN"/>
              </w:rPr>
              <w:t>张文华</w:t>
            </w:r>
          </w:p>
        </w:tc>
        <w:tc>
          <w:tcPr>
            <w:tcW w:w="1300" w:type="dxa"/>
            <w:vAlign w:val="center"/>
          </w:tcPr>
          <w:p w14:paraId="64EBEEB3">
            <w:pPr>
              <w:keepNext w:val="0"/>
              <w:keepLines w:val="0"/>
              <w:widowControl/>
              <w:suppressLineNumbers w:val="0"/>
              <w:snapToGrid w:val="0"/>
              <w:spacing w:before="0" w:beforeAutospacing="0" w:after="160" w:afterAutospacing="0" w:line="340" w:lineRule="exact"/>
              <w:ind w:left="0" w:right="0"/>
              <w:jc w:val="center"/>
              <w:rPr>
                <w:rFonts w:hint="default" w:ascii="Times New Roman" w:hAnsi="Times New Roman" w:eastAsia="宋体" w:cs="Times New Roman"/>
                <w:b w:val="0"/>
                <w:bCs w:val="0"/>
                <w:color w:val="auto"/>
                <w:sz w:val="20"/>
                <w:szCs w:val="20"/>
                <w:lang w:val="en-US" w:eastAsia="zh-CN"/>
              </w:rPr>
            </w:pPr>
            <w:r>
              <w:rPr>
                <w:rFonts w:hint="default" w:ascii="Times New Roman" w:hAnsi="Times New Roman" w:eastAsia="宋体" w:cs="Times New Roman"/>
                <w:b w:val="0"/>
                <w:bCs w:val="0"/>
                <w:color w:val="auto"/>
                <w:sz w:val="20"/>
                <w:szCs w:val="20"/>
                <w:lang w:val="en-US" w:eastAsia="zh-CN"/>
              </w:rPr>
              <w:t>教授</w:t>
            </w:r>
          </w:p>
        </w:tc>
        <w:tc>
          <w:tcPr>
            <w:tcW w:w="3787" w:type="dxa"/>
            <w:vAlign w:val="center"/>
          </w:tcPr>
          <w:p w14:paraId="33291A3E">
            <w:pPr>
              <w:keepNext w:val="0"/>
              <w:keepLines w:val="0"/>
              <w:widowControl/>
              <w:suppressLineNumbers w:val="0"/>
              <w:snapToGrid w:val="0"/>
              <w:spacing w:before="0" w:beforeAutospacing="0" w:after="160" w:afterAutospacing="0" w:line="340" w:lineRule="exact"/>
              <w:ind w:left="0" w:right="0"/>
              <w:jc w:val="center"/>
              <w:rPr>
                <w:rFonts w:hint="default" w:ascii="Times New Roman" w:hAnsi="Times New Roman" w:eastAsia="宋体" w:cs="Times New Roman"/>
                <w:b w:val="0"/>
                <w:bCs w:val="0"/>
                <w:color w:val="auto"/>
                <w:sz w:val="20"/>
                <w:szCs w:val="20"/>
              </w:rPr>
            </w:pPr>
            <w:r>
              <w:rPr>
                <w:rFonts w:hint="default" w:ascii="Times New Roman" w:hAnsi="Times New Roman" w:eastAsia="宋体" w:cs="Times New Roman"/>
                <w:b w:val="0"/>
                <w:bCs w:val="0"/>
                <w:color w:val="auto"/>
                <w:sz w:val="20"/>
                <w:szCs w:val="20"/>
              </w:rPr>
              <w:t>参与讨论及技术指标确定</w:t>
            </w:r>
          </w:p>
        </w:tc>
      </w:tr>
      <w:tr w14:paraId="3021CE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blHeader/>
          <w:jc w:val="center"/>
        </w:trPr>
        <w:tc>
          <w:tcPr>
            <w:tcW w:w="2800" w:type="dxa"/>
            <w:shd w:val="clear" w:color="auto" w:fill="auto"/>
            <w:vAlign w:val="center"/>
          </w:tcPr>
          <w:p w14:paraId="178A221C">
            <w:pPr>
              <w:keepNext w:val="0"/>
              <w:keepLines w:val="0"/>
              <w:widowControl/>
              <w:suppressLineNumbers w:val="0"/>
              <w:snapToGrid w:val="0"/>
              <w:spacing w:before="0" w:beforeAutospacing="0" w:after="160" w:afterAutospacing="0" w:line="340" w:lineRule="exact"/>
              <w:ind w:left="0" w:right="0"/>
              <w:jc w:val="center"/>
              <w:rPr>
                <w:rFonts w:hint="default" w:ascii="Times New Roman" w:hAnsi="Times New Roman" w:eastAsia="宋体" w:cs="Times New Roman"/>
                <w:b w:val="0"/>
                <w:bCs w:val="0"/>
                <w:color w:val="auto"/>
                <w:sz w:val="20"/>
                <w:szCs w:val="20"/>
                <w:lang w:val="en-US" w:eastAsia="zh-CN"/>
              </w:rPr>
            </w:pPr>
            <w:r>
              <w:rPr>
                <w:rFonts w:hint="default" w:ascii="Times New Roman" w:hAnsi="Times New Roman" w:eastAsia="宋体" w:cs="Times New Roman"/>
                <w:b w:val="0"/>
                <w:bCs w:val="0"/>
                <w:color w:val="auto"/>
                <w:sz w:val="20"/>
                <w:szCs w:val="20"/>
                <w:lang w:val="en-US" w:eastAsia="zh-CN"/>
              </w:rPr>
              <w:t>江苏省自行车电动车协会</w:t>
            </w:r>
          </w:p>
        </w:tc>
        <w:tc>
          <w:tcPr>
            <w:tcW w:w="1050" w:type="dxa"/>
            <w:shd w:val="clear" w:color="auto" w:fill="auto"/>
            <w:vAlign w:val="center"/>
          </w:tcPr>
          <w:p w14:paraId="47EA440C">
            <w:pPr>
              <w:keepNext w:val="0"/>
              <w:keepLines w:val="0"/>
              <w:widowControl/>
              <w:suppressLineNumbers w:val="0"/>
              <w:snapToGrid w:val="0"/>
              <w:spacing w:before="0" w:beforeAutospacing="0" w:after="160" w:afterAutospacing="0" w:line="340" w:lineRule="exact"/>
              <w:ind w:left="0" w:right="0"/>
              <w:jc w:val="center"/>
              <w:rPr>
                <w:rFonts w:hint="default" w:ascii="Times New Roman" w:hAnsi="Times New Roman" w:eastAsia="宋体" w:cs="Times New Roman"/>
                <w:b w:val="0"/>
                <w:bCs w:val="0"/>
                <w:color w:val="auto"/>
                <w:sz w:val="20"/>
                <w:szCs w:val="20"/>
                <w:lang w:val="en-US" w:eastAsia="zh-CN"/>
              </w:rPr>
            </w:pPr>
            <w:r>
              <w:rPr>
                <w:rFonts w:hint="default" w:ascii="Times New Roman" w:hAnsi="Times New Roman" w:eastAsia="宋体" w:cs="Times New Roman"/>
                <w:b w:val="0"/>
                <w:bCs w:val="0"/>
                <w:color w:val="auto"/>
                <w:sz w:val="20"/>
                <w:szCs w:val="20"/>
                <w:lang w:val="en-US" w:eastAsia="zh-CN"/>
              </w:rPr>
              <w:t>陆金龙</w:t>
            </w:r>
          </w:p>
        </w:tc>
        <w:tc>
          <w:tcPr>
            <w:tcW w:w="1300" w:type="dxa"/>
            <w:vAlign w:val="center"/>
          </w:tcPr>
          <w:p w14:paraId="02F96CE4">
            <w:pPr>
              <w:keepNext w:val="0"/>
              <w:keepLines w:val="0"/>
              <w:widowControl/>
              <w:suppressLineNumbers w:val="0"/>
              <w:snapToGrid w:val="0"/>
              <w:spacing w:before="0" w:beforeAutospacing="0" w:after="160" w:afterAutospacing="0" w:line="340" w:lineRule="exact"/>
              <w:ind w:left="0" w:right="0"/>
              <w:jc w:val="center"/>
              <w:rPr>
                <w:rFonts w:hint="default" w:ascii="Times New Roman" w:hAnsi="Times New Roman" w:eastAsia="宋体" w:cs="Times New Roman"/>
                <w:b w:val="0"/>
                <w:bCs w:val="0"/>
                <w:color w:val="auto"/>
                <w:sz w:val="20"/>
                <w:szCs w:val="20"/>
                <w:lang w:val="en-US" w:eastAsia="zh-CN"/>
              </w:rPr>
            </w:pPr>
            <w:r>
              <w:rPr>
                <w:rFonts w:hint="default" w:ascii="Times New Roman" w:hAnsi="Times New Roman" w:eastAsia="宋体" w:cs="Times New Roman"/>
                <w:b w:val="0"/>
                <w:bCs w:val="0"/>
                <w:color w:val="auto"/>
                <w:sz w:val="20"/>
                <w:szCs w:val="20"/>
                <w:lang w:val="en-US" w:eastAsia="zh-CN"/>
              </w:rPr>
              <w:t>名誉理事长</w:t>
            </w:r>
          </w:p>
        </w:tc>
        <w:tc>
          <w:tcPr>
            <w:tcW w:w="3787" w:type="dxa"/>
            <w:vAlign w:val="center"/>
          </w:tcPr>
          <w:p w14:paraId="57F939BF">
            <w:pPr>
              <w:keepNext w:val="0"/>
              <w:keepLines w:val="0"/>
              <w:widowControl/>
              <w:suppressLineNumbers w:val="0"/>
              <w:snapToGrid w:val="0"/>
              <w:spacing w:before="0" w:beforeAutospacing="0" w:after="160" w:afterAutospacing="0" w:line="340" w:lineRule="exact"/>
              <w:ind w:left="0" w:right="0"/>
              <w:jc w:val="center"/>
              <w:rPr>
                <w:rFonts w:hint="default" w:ascii="Times New Roman" w:hAnsi="Times New Roman" w:eastAsia="宋体" w:cs="Times New Roman"/>
                <w:b w:val="0"/>
                <w:bCs w:val="0"/>
                <w:color w:val="auto"/>
                <w:sz w:val="20"/>
                <w:szCs w:val="20"/>
              </w:rPr>
            </w:pPr>
            <w:r>
              <w:rPr>
                <w:rFonts w:hint="default" w:ascii="Times New Roman" w:hAnsi="Times New Roman" w:eastAsia="宋体" w:cs="Times New Roman"/>
                <w:b w:val="0"/>
                <w:bCs w:val="0"/>
                <w:color w:val="auto"/>
                <w:sz w:val="20"/>
                <w:szCs w:val="20"/>
              </w:rPr>
              <w:t>参与讨论及技术指标确定</w:t>
            </w:r>
          </w:p>
        </w:tc>
      </w:tr>
      <w:tr w14:paraId="369BE1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blHeader/>
          <w:jc w:val="center"/>
        </w:trPr>
        <w:tc>
          <w:tcPr>
            <w:tcW w:w="2800" w:type="dxa"/>
            <w:vMerge w:val="restart"/>
            <w:shd w:val="clear" w:color="auto" w:fill="auto"/>
            <w:vAlign w:val="center"/>
          </w:tcPr>
          <w:p w14:paraId="14ABAC1B">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铁塔能源有限公司江苏分公司</w:t>
            </w:r>
          </w:p>
        </w:tc>
        <w:tc>
          <w:tcPr>
            <w:tcW w:w="1050" w:type="dxa"/>
            <w:shd w:val="clear" w:color="auto" w:fill="auto"/>
            <w:vAlign w:val="center"/>
          </w:tcPr>
          <w:p w14:paraId="12F5600D">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夏海鲸</w:t>
            </w:r>
          </w:p>
        </w:tc>
        <w:tc>
          <w:tcPr>
            <w:tcW w:w="1300" w:type="dxa"/>
            <w:vAlign w:val="center"/>
          </w:tcPr>
          <w:p w14:paraId="3C20A6A9">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总经理</w:t>
            </w:r>
          </w:p>
        </w:tc>
        <w:tc>
          <w:tcPr>
            <w:tcW w:w="3787" w:type="dxa"/>
            <w:vAlign w:val="center"/>
          </w:tcPr>
          <w:p w14:paraId="029FC83C">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default" w:ascii="Times New Roman" w:hAnsi="Times New Roman" w:eastAsia="宋体" w:cs="Times New Roman"/>
                <w:b w:val="0"/>
                <w:bCs w:val="0"/>
                <w:color w:val="000000"/>
                <w:sz w:val="20"/>
                <w:szCs w:val="20"/>
              </w:rPr>
              <w:t>协助开展调研，参与讨论及技术指标确定</w:t>
            </w:r>
          </w:p>
        </w:tc>
      </w:tr>
      <w:tr w14:paraId="259AA2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blHeader/>
          <w:jc w:val="center"/>
        </w:trPr>
        <w:tc>
          <w:tcPr>
            <w:tcW w:w="2800" w:type="dxa"/>
            <w:vMerge w:val="continue"/>
            <w:shd w:val="clear" w:color="auto" w:fill="auto"/>
            <w:vAlign w:val="center"/>
          </w:tcPr>
          <w:p w14:paraId="31F096B4">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p>
        </w:tc>
        <w:tc>
          <w:tcPr>
            <w:tcW w:w="1050" w:type="dxa"/>
            <w:shd w:val="clear" w:color="auto" w:fill="auto"/>
            <w:vAlign w:val="center"/>
          </w:tcPr>
          <w:p w14:paraId="14F130E2">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王  钊</w:t>
            </w:r>
          </w:p>
        </w:tc>
        <w:tc>
          <w:tcPr>
            <w:tcW w:w="1300" w:type="dxa"/>
            <w:vAlign w:val="center"/>
          </w:tcPr>
          <w:p w14:paraId="7C34B279">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经理</w:t>
            </w:r>
          </w:p>
        </w:tc>
        <w:tc>
          <w:tcPr>
            <w:tcW w:w="3787" w:type="dxa"/>
            <w:vAlign w:val="center"/>
          </w:tcPr>
          <w:p w14:paraId="3E212C48">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default" w:ascii="Times New Roman" w:hAnsi="Times New Roman" w:eastAsia="宋体" w:cs="Times New Roman"/>
                <w:b w:val="0"/>
                <w:bCs w:val="0"/>
                <w:color w:val="000000"/>
                <w:sz w:val="20"/>
                <w:szCs w:val="20"/>
              </w:rPr>
              <w:t>协助开展调研，参与讨论及技术指标确定</w:t>
            </w:r>
          </w:p>
        </w:tc>
      </w:tr>
      <w:tr w14:paraId="13B0BA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blHeader/>
          <w:jc w:val="center"/>
        </w:trPr>
        <w:tc>
          <w:tcPr>
            <w:tcW w:w="2800" w:type="dxa"/>
            <w:vMerge w:val="restart"/>
            <w:shd w:val="clear" w:color="auto" w:fill="auto"/>
            <w:vAlign w:val="center"/>
          </w:tcPr>
          <w:p w14:paraId="0B8E4973">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无锡市检验检测认证研究院</w:t>
            </w:r>
          </w:p>
        </w:tc>
        <w:tc>
          <w:tcPr>
            <w:tcW w:w="1050" w:type="dxa"/>
            <w:shd w:val="clear" w:color="auto" w:fill="auto"/>
            <w:vAlign w:val="center"/>
          </w:tcPr>
          <w:p w14:paraId="092FC546">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叶震涛</w:t>
            </w:r>
          </w:p>
        </w:tc>
        <w:tc>
          <w:tcPr>
            <w:tcW w:w="1300" w:type="dxa"/>
            <w:vAlign w:val="center"/>
          </w:tcPr>
          <w:p w14:paraId="048F052E">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eastAsia="zh-CN"/>
              </w:rPr>
            </w:pPr>
            <w:r>
              <w:rPr>
                <w:rFonts w:hint="eastAsia" w:ascii="Times New Roman" w:hAnsi="Times New Roman" w:eastAsia="宋体" w:cs="Times New Roman"/>
                <w:b w:val="0"/>
                <w:bCs w:val="0"/>
                <w:color w:val="000000"/>
                <w:sz w:val="20"/>
                <w:szCs w:val="20"/>
                <w:lang w:val="en-US" w:eastAsia="zh-CN"/>
              </w:rPr>
              <w:t>正高</w:t>
            </w:r>
          </w:p>
        </w:tc>
        <w:tc>
          <w:tcPr>
            <w:tcW w:w="3787" w:type="dxa"/>
            <w:vAlign w:val="center"/>
          </w:tcPr>
          <w:p w14:paraId="1ACD0156">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rPr>
              <w:t>技术主要负责人之一</w:t>
            </w:r>
          </w:p>
        </w:tc>
      </w:tr>
      <w:tr w14:paraId="3EA69C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blHeader/>
          <w:jc w:val="center"/>
        </w:trPr>
        <w:tc>
          <w:tcPr>
            <w:tcW w:w="2800" w:type="dxa"/>
            <w:vMerge w:val="continue"/>
            <w:shd w:val="clear" w:color="auto" w:fill="auto"/>
            <w:vAlign w:val="center"/>
          </w:tcPr>
          <w:p w14:paraId="58CE2171">
            <w:pPr>
              <w:keepNext w:val="0"/>
              <w:keepLines w:val="0"/>
              <w:widowControl/>
              <w:suppressLineNumbers w:val="0"/>
              <w:snapToGrid w:val="0"/>
              <w:spacing w:before="0" w:beforeAutospacing="0" w:after="160" w:afterAutospacing="0" w:line="340" w:lineRule="exact"/>
              <w:ind w:left="0" w:right="0"/>
              <w:jc w:val="center"/>
              <w:rPr>
                <w:rFonts w:hint="default" w:ascii="Times New Roman" w:hAnsi="Times New Roman" w:eastAsia="宋体" w:cs="Times New Roman"/>
                <w:b w:val="0"/>
                <w:bCs w:val="0"/>
                <w:color w:val="000000"/>
                <w:sz w:val="20"/>
                <w:szCs w:val="20"/>
              </w:rPr>
            </w:pPr>
          </w:p>
        </w:tc>
        <w:tc>
          <w:tcPr>
            <w:tcW w:w="1050" w:type="dxa"/>
            <w:shd w:val="clear" w:color="auto" w:fill="auto"/>
            <w:vAlign w:val="center"/>
          </w:tcPr>
          <w:p w14:paraId="2AAA1E5B">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朱应陈</w:t>
            </w:r>
          </w:p>
        </w:tc>
        <w:tc>
          <w:tcPr>
            <w:tcW w:w="1300" w:type="dxa"/>
            <w:vAlign w:val="center"/>
          </w:tcPr>
          <w:p w14:paraId="0A085950">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eastAsia="zh-CN"/>
              </w:rPr>
            </w:pPr>
            <w:r>
              <w:rPr>
                <w:rFonts w:hint="eastAsia" w:ascii="Times New Roman" w:hAnsi="Times New Roman" w:eastAsia="宋体" w:cs="Times New Roman"/>
                <w:b w:val="0"/>
                <w:bCs w:val="0"/>
                <w:color w:val="000000"/>
                <w:sz w:val="20"/>
                <w:szCs w:val="20"/>
                <w:lang w:val="en-US" w:eastAsia="zh-CN"/>
              </w:rPr>
              <w:t>部长</w:t>
            </w:r>
          </w:p>
        </w:tc>
        <w:tc>
          <w:tcPr>
            <w:tcW w:w="3787" w:type="dxa"/>
            <w:vAlign w:val="center"/>
          </w:tcPr>
          <w:p w14:paraId="64318BA8">
            <w:pPr>
              <w:keepNext w:val="0"/>
              <w:keepLines w:val="0"/>
              <w:widowControl/>
              <w:suppressLineNumbers w:val="0"/>
              <w:snapToGrid w:val="0"/>
              <w:spacing w:before="0" w:beforeAutospacing="0" w:after="160" w:afterAutospacing="0" w:line="340" w:lineRule="exact"/>
              <w:ind w:left="0" w:right="0"/>
              <w:jc w:val="center"/>
              <w:rPr>
                <w:rFonts w:hint="default" w:ascii="Times New Roman" w:hAnsi="Times New Roman" w:eastAsia="宋体" w:cs="Times New Roman"/>
                <w:b w:val="0"/>
                <w:bCs w:val="0"/>
                <w:color w:val="000000"/>
                <w:sz w:val="20"/>
                <w:szCs w:val="20"/>
              </w:rPr>
            </w:pPr>
            <w:r>
              <w:rPr>
                <w:rFonts w:hint="default" w:ascii="Times New Roman" w:hAnsi="Times New Roman" w:eastAsia="宋体" w:cs="Times New Roman"/>
                <w:b w:val="0"/>
                <w:bCs w:val="0"/>
                <w:color w:val="000000"/>
                <w:sz w:val="20"/>
                <w:szCs w:val="20"/>
              </w:rPr>
              <w:t>协助开展调研，参与讨论及技术指标确定</w:t>
            </w:r>
          </w:p>
        </w:tc>
      </w:tr>
      <w:tr w14:paraId="4293F9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blHeader/>
          <w:jc w:val="center"/>
        </w:trPr>
        <w:tc>
          <w:tcPr>
            <w:tcW w:w="2800" w:type="dxa"/>
            <w:vMerge w:val="restart"/>
            <w:shd w:val="clear" w:color="auto" w:fill="auto"/>
            <w:vAlign w:val="center"/>
          </w:tcPr>
          <w:p w14:paraId="3BAA5539">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苏州星恒电源股份有限公司</w:t>
            </w:r>
          </w:p>
        </w:tc>
        <w:tc>
          <w:tcPr>
            <w:tcW w:w="1050" w:type="dxa"/>
            <w:shd w:val="clear" w:color="auto" w:fill="auto"/>
            <w:vAlign w:val="center"/>
          </w:tcPr>
          <w:p w14:paraId="60A44A8E">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冯  笑</w:t>
            </w:r>
          </w:p>
        </w:tc>
        <w:tc>
          <w:tcPr>
            <w:tcW w:w="1300" w:type="dxa"/>
            <w:vAlign w:val="center"/>
          </w:tcPr>
          <w:p w14:paraId="64BCFAC4">
            <w:pPr>
              <w:keepNext w:val="0"/>
              <w:keepLines w:val="0"/>
              <w:widowControl/>
              <w:suppressLineNumbers w:val="0"/>
              <w:snapToGrid w:val="0"/>
              <w:spacing w:before="0" w:beforeAutospacing="0" w:after="160" w:afterAutospacing="0" w:line="340" w:lineRule="exact"/>
              <w:ind w:left="0" w:right="0"/>
              <w:jc w:val="center"/>
              <w:rPr>
                <w:rFonts w:hint="default"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董事长</w:t>
            </w:r>
          </w:p>
        </w:tc>
        <w:tc>
          <w:tcPr>
            <w:tcW w:w="3787" w:type="dxa"/>
            <w:vAlign w:val="center"/>
          </w:tcPr>
          <w:p w14:paraId="66FC408B">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default" w:ascii="Times New Roman" w:hAnsi="Times New Roman" w:eastAsia="宋体" w:cs="Times New Roman"/>
                <w:b w:val="0"/>
                <w:bCs w:val="0"/>
                <w:color w:val="000000"/>
                <w:sz w:val="20"/>
                <w:szCs w:val="20"/>
              </w:rPr>
              <w:t>协助开展调研，参与讨论及技术指标确定</w:t>
            </w:r>
          </w:p>
        </w:tc>
      </w:tr>
      <w:tr w14:paraId="001FDE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exact"/>
          <w:tblHeader/>
          <w:jc w:val="center"/>
        </w:trPr>
        <w:tc>
          <w:tcPr>
            <w:tcW w:w="2800" w:type="dxa"/>
            <w:vMerge w:val="continue"/>
            <w:shd w:val="clear" w:color="auto" w:fill="auto"/>
            <w:vAlign w:val="center"/>
          </w:tcPr>
          <w:p w14:paraId="117E42B6">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p>
        </w:tc>
        <w:tc>
          <w:tcPr>
            <w:tcW w:w="1050" w:type="dxa"/>
            <w:shd w:val="clear" w:color="auto" w:fill="auto"/>
            <w:vAlign w:val="center"/>
          </w:tcPr>
          <w:p w14:paraId="28E1652A">
            <w:pPr>
              <w:keepNext w:val="0"/>
              <w:keepLines w:val="0"/>
              <w:widowControl/>
              <w:suppressLineNumbers w:val="0"/>
              <w:snapToGrid w:val="0"/>
              <w:spacing w:before="0" w:beforeAutospacing="0" w:after="160" w:afterAutospacing="0" w:line="340" w:lineRule="exact"/>
              <w:ind w:left="0" w:right="0"/>
              <w:jc w:val="center"/>
              <w:rPr>
                <w:rFonts w:hint="default"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姜定成</w:t>
            </w:r>
          </w:p>
        </w:tc>
        <w:tc>
          <w:tcPr>
            <w:tcW w:w="1300" w:type="dxa"/>
            <w:vAlign w:val="center"/>
          </w:tcPr>
          <w:p w14:paraId="0602DC43">
            <w:pPr>
              <w:keepNext w:val="0"/>
              <w:keepLines w:val="0"/>
              <w:widowControl/>
              <w:suppressLineNumbers w:val="0"/>
              <w:snapToGrid w:val="0"/>
              <w:spacing w:before="0" w:beforeAutospacing="0" w:after="160" w:afterAutospacing="0" w:line="340" w:lineRule="exact"/>
              <w:ind w:left="0" w:right="0"/>
              <w:jc w:val="center"/>
              <w:rPr>
                <w:rFonts w:hint="default"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经理</w:t>
            </w:r>
          </w:p>
        </w:tc>
        <w:tc>
          <w:tcPr>
            <w:tcW w:w="3787" w:type="dxa"/>
            <w:vAlign w:val="center"/>
          </w:tcPr>
          <w:p w14:paraId="422A29B4">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default" w:ascii="Times New Roman" w:hAnsi="Times New Roman" w:eastAsia="宋体" w:cs="Times New Roman"/>
                <w:b w:val="0"/>
                <w:bCs w:val="0"/>
                <w:color w:val="000000"/>
                <w:sz w:val="20"/>
                <w:szCs w:val="20"/>
              </w:rPr>
              <w:t>协助开展调研，参与讨论及技术指标确定</w:t>
            </w:r>
          </w:p>
        </w:tc>
      </w:tr>
      <w:tr w14:paraId="761DB5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exact"/>
          <w:tblHeader/>
          <w:jc w:val="center"/>
        </w:trPr>
        <w:tc>
          <w:tcPr>
            <w:tcW w:w="2800" w:type="dxa"/>
            <w:shd w:val="clear" w:color="auto" w:fill="auto"/>
            <w:vAlign w:val="center"/>
          </w:tcPr>
          <w:p w14:paraId="3DE1FF54">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中国铁塔股份有限公司无锡市分公司</w:t>
            </w:r>
          </w:p>
        </w:tc>
        <w:tc>
          <w:tcPr>
            <w:tcW w:w="1050" w:type="dxa"/>
            <w:shd w:val="clear" w:color="auto" w:fill="auto"/>
            <w:vAlign w:val="center"/>
          </w:tcPr>
          <w:p w14:paraId="4EB3D34D">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周志勇</w:t>
            </w:r>
          </w:p>
        </w:tc>
        <w:tc>
          <w:tcPr>
            <w:tcW w:w="1300" w:type="dxa"/>
            <w:vAlign w:val="center"/>
          </w:tcPr>
          <w:p w14:paraId="076014CF">
            <w:pPr>
              <w:keepNext w:val="0"/>
              <w:keepLines w:val="0"/>
              <w:widowControl/>
              <w:suppressLineNumbers w:val="0"/>
              <w:snapToGrid w:val="0"/>
              <w:spacing w:before="0" w:beforeAutospacing="0" w:after="160" w:afterAutospacing="0" w:line="340" w:lineRule="exact"/>
              <w:ind w:left="0" w:right="0"/>
              <w:jc w:val="center"/>
              <w:rPr>
                <w:rFonts w:hint="default" w:ascii="Times New Roman" w:hAnsi="Times New Roman" w:eastAsia="宋体" w:cs="Times New Roman"/>
                <w:b w:val="0"/>
                <w:bCs w:val="0"/>
                <w:color w:val="000000"/>
                <w:sz w:val="20"/>
                <w:szCs w:val="20"/>
                <w:lang w:val="en-US" w:eastAsia="zh-CN"/>
              </w:rPr>
            </w:pPr>
            <w:r>
              <w:rPr>
                <w:rFonts w:hint="default" w:ascii="Times New Roman" w:hAnsi="Times New Roman" w:eastAsia="宋体" w:cs="Times New Roman"/>
                <w:b w:val="0"/>
                <w:bCs w:val="0"/>
                <w:color w:val="000000"/>
                <w:sz w:val="20"/>
                <w:szCs w:val="20"/>
                <w:lang w:val="en-US" w:eastAsia="zh-CN"/>
              </w:rPr>
              <w:t>能源管理</w:t>
            </w:r>
          </w:p>
        </w:tc>
        <w:tc>
          <w:tcPr>
            <w:tcW w:w="3787" w:type="dxa"/>
            <w:vAlign w:val="center"/>
          </w:tcPr>
          <w:p w14:paraId="20A20DA1">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default" w:ascii="Times New Roman" w:hAnsi="Times New Roman" w:eastAsia="宋体" w:cs="Times New Roman"/>
                <w:b w:val="0"/>
                <w:bCs w:val="0"/>
                <w:color w:val="000000"/>
                <w:sz w:val="20"/>
                <w:szCs w:val="20"/>
              </w:rPr>
              <w:t>协助开展调研，参与讨论及技术指标确定</w:t>
            </w:r>
          </w:p>
        </w:tc>
      </w:tr>
      <w:tr w14:paraId="0B982E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blHeader/>
          <w:jc w:val="center"/>
        </w:trPr>
        <w:tc>
          <w:tcPr>
            <w:tcW w:w="2800" w:type="dxa"/>
            <w:vMerge w:val="restart"/>
            <w:shd w:val="clear" w:color="auto" w:fill="auto"/>
            <w:vAlign w:val="center"/>
          </w:tcPr>
          <w:p w14:paraId="68B0AA6A">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无锡汉博新能源科技有限公司</w:t>
            </w:r>
          </w:p>
        </w:tc>
        <w:tc>
          <w:tcPr>
            <w:tcW w:w="1050" w:type="dxa"/>
            <w:shd w:val="clear" w:color="auto" w:fill="auto"/>
            <w:vAlign w:val="center"/>
          </w:tcPr>
          <w:p w14:paraId="6CC99106">
            <w:pPr>
              <w:keepNext w:val="0"/>
              <w:keepLines w:val="0"/>
              <w:widowControl/>
              <w:suppressLineNumbers w:val="0"/>
              <w:snapToGrid w:val="0"/>
              <w:spacing w:before="0" w:beforeAutospacing="0" w:after="160" w:afterAutospacing="0" w:line="340" w:lineRule="exact"/>
              <w:ind w:left="0" w:right="0"/>
              <w:jc w:val="center"/>
              <w:rPr>
                <w:rFonts w:hint="default"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唐铭浩</w:t>
            </w:r>
          </w:p>
        </w:tc>
        <w:tc>
          <w:tcPr>
            <w:tcW w:w="1300" w:type="dxa"/>
            <w:vAlign w:val="center"/>
          </w:tcPr>
          <w:p w14:paraId="49C701E9">
            <w:pPr>
              <w:keepNext w:val="0"/>
              <w:keepLines w:val="0"/>
              <w:widowControl/>
              <w:suppressLineNumbers w:val="0"/>
              <w:snapToGrid w:val="0"/>
              <w:spacing w:before="0" w:beforeAutospacing="0" w:after="160" w:afterAutospacing="0" w:line="340" w:lineRule="exact"/>
              <w:ind w:left="0" w:right="0"/>
              <w:jc w:val="center"/>
              <w:rPr>
                <w:rFonts w:hint="default"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技术部经理</w:t>
            </w:r>
          </w:p>
        </w:tc>
        <w:tc>
          <w:tcPr>
            <w:tcW w:w="3787" w:type="dxa"/>
            <w:vAlign w:val="center"/>
          </w:tcPr>
          <w:p w14:paraId="3430584B">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default" w:ascii="Times New Roman" w:hAnsi="Times New Roman" w:eastAsia="宋体" w:cs="Times New Roman"/>
                <w:b w:val="0"/>
                <w:bCs w:val="0"/>
                <w:color w:val="000000"/>
                <w:sz w:val="20"/>
                <w:szCs w:val="20"/>
              </w:rPr>
              <w:t>协助开展调研，参与讨论及技术指标确定</w:t>
            </w:r>
          </w:p>
        </w:tc>
      </w:tr>
      <w:tr w14:paraId="458F48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blHeader/>
          <w:jc w:val="center"/>
        </w:trPr>
        <w:tc>
          <w:tcPr>
            <w:tcW w:w="2800" w:type="dxa"/>
            <w:vMerge w:val="continue"/>
            <w:shd w:val="clear" w:color="auto" w:fill="auto"/>
            <w:vAlign w:val="center"/>
          </w:tcPr>
          <w:p w14:paraId="220F94B2">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p>
        </w:tc>
        <w:tc>
          <w:tcPr>
            <w:tcW w:w="1050" w:type="dxa"/>
            <w:shd w:val="clear" w:color="auto" w:fill="auto"/>
            <w:vAlign w:val="center"/>
          </w:tcPr>
          <w:p w14:paraId="4AF3B001">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朱  涛</w:t>
            </w:r>
          </w:p>
        </w:tc>
        <w:tc>
          <w:tcPr>
            <w:tcW w:w="1300" w:type="dxa"/>
            <w:vAlign w:val="center"/>
          </w:tcPr>
          <w:p w14:paraId="2C893F20">
            <w:pPr>
              <w:keepNext w:val="0"/>
              <w:keepLines w:val="0"/>
              <w:widowControl/>
              <w:suppressLineNumbers w:val="0"/>
              <w:snapToGrid w:val="0"/>
              <w:spacing w:before="0" w:beforeAutospacing="0" w:after="160" w:afterAutospacing="0" w:line="340" w:lineRule="exact"/>
              <w:ind w:left="0" w:right="0"/>
              <w:jc w:val="center"/>
              <w:rPr>
                <w:rFonts w:hint="default"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工程师</w:t>
            </w:r>
          </w:p>
        </w:tc>
        <w:tc>
          <w:tcPr>
            <w:tcW w:w="3787" w:type="dxa"/>
            <w:vAlign w:val="center"/>
          </w:tcPr>
          <w:p w14:paraId="07B688E3">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default" w:ascii="Times New Roman" w:hAnsi="Times New Roman" w:eastAsia="宋体" w:cs="Times New Roman"/>
                <w:b w:val="0"/>
                <w:bCs w:val="0"/>
                <w:color w:val="000000"/>
                <w:sz w:val="20"/>
                <w:szCs w:val="20"/>
              </w:rPr>
              <w:t>参与讨论及技术指标确定</w:t>
            </w:r>
          </w:p>
        </w:tc>
      </w:tr>
      <w:tr w14:paraId="2150EB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exact"/>
          <w:tblHeader/>
          <w:jc w:val="center"/>
        </w:trPr>
        <w:tc>
          <w:tcPr>
            <w:tcW w:w="2800" w:type="dxa"/>
            <w:shd w:val="clear" w:color="auto" w:fill="auto"/>
            <w:vAlign w:val="center"/>
          </w:tcPr>
          <w:p w14:paraId="1BC7E394">
            <w:pPr>
              <w:keepNext w:val="0"/>
              <w:keepLines w:val="0"/>
              <w:widowControl/>
              <w:suppressLineNumbers w:val="0"/>
              <w:snapToGrid w:val="0"/>
              <w:spacing w:before="0" w:beforeAutospacing="0" w:after="160" w:afterAutospacing="0" w:line="340" w:lineRule="exact"/>
              <w:ind w:left="0" w:right="0"/>
              <w:jc w:val="center"/>
              <w:rPr>
                <w:rFonts w:hint="default"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江苏省科协企业创新服务中心</w:t>
            </w:r>
          </w:p>
        </w:tc>
        <w:tc>
          <w:tcPr>
            <w:tcW w:w="1050" w:type="dxa"/>
            <w:shd w:val="clear" w:color="auto" w:fill="auto"/>
            <w:vAlign w:val="center"/>
          </w:tcPr>
          <w:p w14:paraId="25062EAB">
            <w:pPr>
              <w:keepNext w:val="0"/>
              <w:keepLines w:val="0"/>
              <w:widowControl/>
              <w:suppressLineNumbers w:val="0"/>
              <w:snapToGrid w:val="0"/>
              <w:spacing w:before="0" w:beforeAutospacing="0" w:after="160" w:afterAutospacing="0" w:line="340" w:lineRule="exact"/>
              <w:ind w:left="0" w:right="0"/>
              <w:jc w:val="center"/>
              <w:rPr>
                <w:rFonts w:hint="default"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唐  杰</w:t>
            </w:r>
          </w:p>
        </w:tc>
        <w:tc>
          <w:tcPr>
            <w:tcW w:w="1300" w:type="dxa"/>
            <w:vAlign w:val="center"/>
          </w:tcPr>
          <w:p w14:paraId="652BBF2D">
            <w:pPr>
              <w:keepNext w:val="0"/>
              <w:keepLines w:val="0"/>
              <w:widowControl/>
              <w:suppressLineNumbers w:val="0"/>
              <w:snapToGrid w:val="0"/>
              <w:spacing w:before="0" w:beforeAutospacing="0" w:after="160" w:afterAutospacing="0" w:line="340" w:lineRule="exact"/>
              <w:ind w:left="0" w:right="0"/>
              <w:jc w:val="center"/>
              <w:rPr>
                <w:rFonts w:hint="default"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助理研究员</w:t>
            </w:r>
          </w:p>
        </w:tc>
        <w:tc>
          <w:tcPr>
            <w:tcW w:w="3787" w:type="dxa"/>
            <w:vAlign w:val="center"/>
          </w:tcPr>
          <w:p w14:paraId="0109EAD9">
            <w:pPr>
              <w:keepNext w:val="0"/>
              <w:keepLines w:val="0"/>
              <w:widowControl/>
              <w:suppressLineNumbers w:val="0"/>
              <w:snapToGrid w:val="0"/>
              <w:spacing w:before="0" w:beforeAutospacing="0" w:after="160" w:afterAutospacing="0" w:line="340" w:lineRule="exact"/>
              <w:ind w:left="0" w:right="0"/>
              <w:jc w:val="center"/>
              <w:rPr>
                <w:rFonts w:hint="default" w:ascii="Times New Roman" w:hAnsi="Times New Roman" w:eastAsia="宋体" w:cs="Times New Roman"/>
                <w:b w:val="0"/>
                <w:bCs w:val="0"/>
                <w:color w:val="000000"/>
                <w:sz w:val="20"/>
                <w:szCs w:val="20"/>
              </w:rPr>
            </w:pPr>
            <w:r>
              <w:rPr>
                <w:rFonts w:hint="default" w:ascii="Times New Roman" w:hAnsi="Times New Roman" w:eastAsia="宋体" w:cs="Times New Roman"/>
                <w:b w:val="0"/>
                <w:bCs w:val="0"/>
                <w:color w:val="000000"/>
                <w:sz w:val="20"/>
                <w:szCs w:val="20"/>
              </w:rPr>
              <w:t>协助开展调研</w:t>
            </w:r>
          </w:p>
        </w:tc>
      </w:tr>
      <w:tr w14:paraId="0E3554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exact"/>
          <w:tblHeader/>
          <w:jc w:val="center"/>
        </w:trPr>
        <w:tc>
          <w:tcPr>
            <w:tcW w:w="2800" w:type="dxa"/>
            <w:shd w:val="clear" w:color="auto" w:fill="auto"/>
            <w:vAlign w:val="center"/>
          </w:tcPr>
          <w:p w14:paraId="7402A365">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南京京东方显示技术有限公司</w:t>
            </w:r>
          </w:p>
        </w:tc>
        <w:tc>
          <w:tcPr>
            <w:tcW w:w="1050" w:type="dxa"/>
            <w:shd w:val="clear" w:color="auto" w:fill="auto"/>
            <w:vAlign w:val="center"/>
          </w:tcPr>
          <w:p w14:paraId="08407E0F">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王显磊</w:t>
            </w:r>
          </w:p>
        </w:tc>
        <w:tc>
          <w:tcPr>
            <w:tcW w:w="1300" w:type="dxa"/>
            <w:vAlign w:val="center"/>
          </w:tcPr>
          <w:p w14:paraId="1F9442EA">
            <w:pPr>
              <w:keepNext w:val="0"/>
              <w:keepLines w:val="0"/>
              <w:widowControl/>
              <w:suppressLineNumbers w:val="0"/>
              <w:snapToGrid w:val="0"/>
              <w:spacing w:before="0" w:beforeAutospacing="0" w:after="160" w:afterAutospacing="0" w:line="340" w:lineRule="exact"/>
              <w:ind w:left="0" w:right="0"/>
              <w:jc w:val="center"/>
              <w:rPr>
                <w:rFonts w:hint="eastAsia" w:ascii="Times New Roman" w:hAnsi="Times New Roman" w:eastAsia="宋体" w:cs="Times New Roman"/>
                <w:b w:val="0"/>
                <w:bCs w:val="0"/>
                <w:color w:val="000000"/>
                <w:sz w:val="20"/>
                <w:szCs w:val="20"/>
                <w:lang w:val="en-US" w:eastAsia="zh-CN"/>
              </w:rPr>
            </w:pPr>
            <w:r>
              <w:rPr>
                <w:rFonts w:hint="eastAsia" w:ascii="Times New Roman" w:hAnsi="Times New Roman" w:eastAsia="宋体" w:cs="Times New Roman"/>
                <w:b w:val="0"/>
                <w:bCs w:val="0"/>
                <w:color w:val="000000"/>
                <w:sz w:val="20"/>
                <w:szCs w:val="20"/>
                <w:lang w:val="en-US" w:eastAsia="zh-CN"/>
              </w:rPr>
              <w:t>项目经理</w:t>
            </w:r>
          </w:p>
        </w:tc>
        <w:tc>
          <w:tcPr>
            <w:tcW w:w="3787" w:type="dxa"/>
            <w:vAlign w:val="center"/>
          </w:tcPr>
          <w:p w14:paraId="58C3A8B5">
            <w:pPr>
              <w:keepNext w:val="0"/>
              <w:keepLines w:val="0"/>
              <w:widowControl/>
              <w:suppressLineNumbers w:val="0"/>
              <w:snapToGrid w:val="0"/>
              <w:spacing w:before="0" w:beforeAutospacing="0" w:after="160" w:afterAutospacing="0" w:line="340" w:lineRule="exact"/>
              <w:ind w:left="0" w:right="0"/>
              <w:jc w:val="center"/>
              <w:rPr>
                <w:rFonts w:hint="default" w:ascii="Times New Roman" w:hAnsi="Times New Roman" w:eastAsia="宋体" w:cs="Times New Roman"/>
                <w:b w:val="0"/>
                <w:bCs w:val="0"/>
                <w:color w:val="000000"/>
                <w:sz w:val="20"/>
                <w:szCs w:val="20"/>
              </w:rPr>
            </w:pPr>
            <w:r>
              <w:rPr>
                <w:rFonts w:hint="default" w:ascii="Times New Roman" w:hAnsi="Times New Roman" w:eastAsia="宋体" w:cs="Times New Roman"/>
                <w:b w:val="0"/>
                <w:bCs w:val="0"/>
                <w:color w:val="auto"/>
                <w:sz w:val="20"/>
                <w:szCs w:val="20"/>
              </w:rPr>
              <w:t>参与讨论及技术指标确定</w:t>
            </w:r>
          </w:p>
        </w:tc>
      </w:tr>
    </w:tbl>
    <w:p w14:paraId="5329B883">
      <w:pPr>
        <w:keepNext w:val="0"/>
        <w:keepLines w:val="0"/>
        <w:pageBreakBefore w:val="0"/>
        <w:widowControl w:val="0"/>
        <w:kinsoku/>
        <w:wordWrap/>
        <w:topLinePunct w:val="0"/>
        <w:bidi w:val="0"/>
        <w:spacing w:line="560" w:lineRule="exact"/>
        <w:ind w:firstLine="640" w:firstLineChars="200"/>
        <w:contextualSpacing/>
        <w:textAlignment w:val="auto"/>
        <w:rPr>
          <w:rFonts w:hint="default" w:ascii="Times New Roman" w:hAnsi="Times New Roman" w:eastAsia="仿宋_GB2312" w:cs="Times New Roman"/>
          <w:color w:val="0000FF"/>
          <w:sz w:val="32"/>
          <w:szCs w:val="32"/>
          <w:lang w:val="en-US" w:eastAsia="zh-CN"/>
        </w:rPr>
      </w:pPr>
    </w:p>
    <w:sectPr>
      <w:footerReference r:id="rId3" w:type="default"/>
      <w:pgSz w:w="11906" w:h="16838"/>
      <w:pgMar w:top="1440" w:right="1800" w:bottom="1440" w:left="1800" w:header="851" w:footer="992"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EFC89056-D3AA-438C-AFAE-2191AC0C321A}"/>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C92625F3-E1AD-4763-9E0A-E7E4A2320A29}"/>
  </w:font>
  <w:font w:name="FZXBSK--GBK1-0">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楷体">
    <w:panose1 w:val="02010609060101010101"/>
    <w:charset w:val="86"/>
    <w:family w:val="auto"/>
    <w:pitch w:val="default"/>
    <w:sig w:usb0="800002BF" w:usb1="38CF7CFA" w:usb2="00000016" w:usb3="00000000" w:csb0="00040001" w:csb1="00000000"/>
    <w:embedRegular r:id="rId3" w:fontKey="{ADF7B87B-7269-4004-ABB9-392C5C596054}"/>
  </w:font>
  <w:font w:name="楷体_GB2312">
    <w:panose1 w:val="02010609030101010101"/>
    <w:charset w:val="86"/>
    <w:family w:val="auto"/>
    <w:pitch w:val="default"/>
    <w:sig w:usb0="00000001" w:usb1="080E0000" w:usb2="00000000" w:usb3="00000000" w:csb0="00040000" w:csb1="00000000"/>
    <w:embedRegular r:id="rId4" w:fontKey="{829BD9D0-9D7E-4E15-BCA0-F05AE6BF1503}"/>
  </w:font>
  <w:font w:name="仿宋_GB2312">
    <w:panose1 w:val="02010609030101010101"/>
    <w:charset w:val="86"/>
    <w:family w:val="modern"/>
    <w:pitch w:val="default"/>
    <w:sig w:usb0="00000001" w:usb1="080E0000" w:usb2="00000000" w:usb3="00000000" w:csb0="00040000" w:csb1="00000000"/>
    <w:embedRegular r:id="rId5" w:fontKey="{2B8CD04B-F3B8-4132-B3DC-CBF7F9074A5B}"/>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BD9247">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5C1208A">
                          <w:pPr>
                            <w:pStyle w:val="5"/>
                            <w:rPr>
                              <w:rFonts w:hint="default" w:ascii="Times New Roman" w:hAnsi="Times New Roman" w:cs="Times New Roman" w:eastAsiaTheme="minorEastAsia"/>
                              <w:sz w:val="21"/>
                              <w:szCs w:val="21"/>
                              <w:lang w:eastAsia="zh-CN"/>
                            </w:rPr>
                          </w:pPr>
                          <w:r>
                            <w:rPr>
                              <w:rFonts w:hint="default" w:ascii="Times New Roman" w:hAnsi="Times New Roman" w:cs="Times New Roman"/>
                              <w:sz w:val="21"/>
                              <w:szCs w:val="21"/>
                              <w:lang w:eastAsia="zh-CN"/>
                            </w:rPr>
                            <w:fldChar w:fldCharType="begin"/>
                          </w:r>
                          <w:r>
                            <w:rPr>
                              <w:rFonts w:hint="default" w:ascii="Times New Roman" w:hAnsi="Times New Roman" w:cs="Times New Roman"/>
                              <w:sz w:val="21"/>
                              <w:szCs w:val="21"/>
                              <w:lang w:eastAsia="zh-CN"/>
                            </w:rPr>
                            <w:instrText xml:space="preserve"> PAGE  \* MERGEFORMAT </w:instrText>
                          </w:r>
                          <w:r>
                            <w:rPr>
                              <w:rFonts w:hint="default" w:ascii="Times New Roman" w:hAnsi="Times New Roman" w:cs="Times New Roman"/>
                              <w:sz w:val="21"/>
                              <w:szCs w:val="21"/>
                              <w:lang w:eastAsia="zh-CN"/>
                            </w:rPr>
                            <w:fldChar w:fldCharType="separate"/>
                          </w:r>
                          <w:r>
                            <w:rPr>
                              <w:rFonts w:hint="default" w:ascii="Times New Roman" w:hAnsi="Times New Roman" w:cs="Times New Roman"/>
                              <w:sz w:val="21"/>
                              <w:szCs w:val="21"/>
                              <w:lang w:eastAsia="zh-CN"/>
                            </w:rPr>
                            <w:t>3</w:t>
                          </w:r>
                          <w:r>
                            <w:rPr>
                              <w:rFonts w:hint="default" w:ascii="Times New Roman" w:hAnsi="Times New Roman" w:cs="Times New Roman"/>
                              <w:sz w:val="21"/>
                              <w:szCs w:val="21"/>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05C1208A">
                    <w:pPr>
                      <w:pStyle w:val="5"/>
                      <w:rPr>
                        <w:rFonts w:hint="default" w:ascii="Times New Roman" w:hAnsi="Times New Roman" w:cs="Times New Roman" w:eastAsiaTheme="minorEastAsia"/>
                        <w:sz w:val="21"/>
                        <w:szCs w:val="21"/>
                        <w:lang w:eastAsia="zh-CN"/>
                      </w:rPr>
                    </w:pPr>
                    <w:r>
                      <w:rPr>
                        <w:rFonts w:hint="default" w:ascii="Times New Roman" w:hAnsi="Times New Roman" w:cs="Times New Roman"/>
                        <w:sz w:val="21"/>
                        <w:szCs w:val="21"/>
                        <w:lang w:eastAsia="zh-CN"/>
                      </w:rPr>
                      <w:fldChar w:fldCharType="begin"/>
                    </w:r>
                    <w:r>
                      <w:rPr>
                        <w:rFonts w:hint="default" w:ascii="Times New Roman" w:hAnsi="Times New Roman" w:cs="Times New Roman"/>
                        <w:sz w:val="21"/>
                        <w:szCs w:val="21"/>
                        <w:lang w:eastAsia="zh-CN"/>
                      </w:rPr>
                      <w:instrText xml:space="preserve"> PAGE  \* MERGEFORMAT </w:instrText>
                    </w:r>
                    <w:r>
                      <w:rPr>
                        <w:rFonts w:hint="default" w:ascii="Times New Roman" w:hAnsi="Times New Roman" w:cs="Times New Roman"/>
                        <w:sz w:val="21"/>
                        <w:szCs w:val="21"/>
                        <w:lang w:eastAsia="zh-CN"/>
                      </w:rPr>
                      <w:fldChar w:fldCharType="separate"/>
                    </w:r>
                    <w:r>
                      <w:rPr>
                        <w:rFonts w:hint="default" w:ascii="Times New Roman" w:hAnsi="Times New Roman" w:cs="Times New Roman"/>
                        <w:sz w:val="21"/>
                        <w:szCs w:val="21"/>
                        <w:lang w:eastAsia="zh-CN"/>
                      </w:rPr>
                      <w:t>3</w:t>
                    </w:r>
                    <w:r>
                      <w:rPr>
                        <w:rFonts w:hint="default" w:ascii="Times New Roman" w:hAnsi="Times New Roman" w:cs="Times New Roman"/>
                        <w:sz w:val="21"/>
                        <w:szCs w:val="21"/>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4E0E6AF"/>
    <w:multiLevelType w:val="singleLevel"/>
    <w:tmpl w:val="C4E0E6AF"/>
    <w:lvl w:ilvl="0" w:tentative="0">
      <w:start w:val="3"/>
      <w:numFmt w:val="chineseCounting"/>
      <w:suff w:val="nothing"/>
      <w:lvlText w:val="%1、"/>
      <w:lvlJc w:val="left"/>
      <w:rPr>
        <w:rFonts w:hint="eastAsia"/>
      </w:rPr>
    </w:lvl>
  </w:abstractNum>
  <w:abstractNum w:abstractNumId="1">
    <w:nsid w:val="C87DD2D1"/>
    <w:multiLevelType w:val="singleLevel"/>
    <w:tmpl w:val="C87DD2D1"/>
    <w:lvl w:ilvl="0" w:tentative="0">
      <w:start w:val="8"/>
      <w:numFmt w:val="chineseCounting"/>
      <w:suff w:val="nothing"/>
      <w:lvlText w:val="%1、"/>
      <w:lvlJc w:val="left"/>
      <w:rPr>
        <w:rFonts w:hint="eastAsia"/>
      </w:rPr>
    </w:lvl>
  </w:abstractNum>
  <w:abstractNum w:abstractNumId="2">
    <w:nsid w:val="1CCF27AB"/>
    <w:multiLevelType w:val="singleLevel"/>
    <w:tmpl w:val="1CCF27AB"/>
    <w:lvl w:ilvl="0" w:tentative="0">
      <w:start w:val="2"/>
      <w:numFmt w:val="chineseCounting"/>
      <w:suff w:val="nothing"/>
      <w:lvlText w:val="（%1）"/>
      <w:lvlJc w:val="left"/>
      <w:rPr>
        <w:rFonts w:hint="eastAsia"/>
      </w:rPr>
    </w:lvl>
  </w:abstractNum>
  <w:abstractNum w:abstractNumId="3">
    <w:nsid w:val="6CEA2025"/>
    <w:multiLevelType w:val="multilevel"/>
    <w:tmpl w:val="6CEA2025"/>
    <w:lvl w:ilvl="0" w:tentative="0">
      <w:start w:val="1"/>
      <w:numFmt w:val="none"/>
      <w:suff w:val="nothing"/>
      <w:lvlText w:val="%1"/>
      <w:lvlJc w:val="left"/>
      <w:pPr>
        <w:ind w:left="0" w:firstLine="0"/>
      </w:pPr>
      <w:rPr>
        <w:rFonts w:hint="eastAsia"/>
      </w:rPr>
    </w:lvl>
    <w:lvl w:ilvl="1" w:tentative="0">
      <w:start w:val="1"/>
      <w:numFmt w:val="decimal"/>
      <w:pStyle w:val="15"/>
      <w:suff w:val="nothing"/>
      <w:lvlText w:val="%1%2　"/>
      <w:lvlJc w:val="left"/>
      <w:pPr>
        <w:ind w:left="0" w:firstLine="0"/>
      </w:pPr>
      <w:rPr>
        <w:rFonts w:hint="eastAsia" w:ascii="黑体" w:eastAsia="黑体"/>
        <w:b w:val="0"/>
        <w:i w:val="0"/>
        <w:sz w:val="21"/>
      </w:rPr>
    </w:lvl>
    <w:lvl w:ilvl="2" w:tentative="0">
      <w:start w:val="1"/>
      <w:numFmt w:val="decimal"/>
      <w:pStyle w:val="14"/>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3" w:tentative="0">
      <w:start w:val="1"/>
      <w:numFmt w:val="decimal"/>
      <w:pStyle w:val="24"/>
      <w:suff w:val="nothing"/>
      <w:lvlText w:val="%1%2.%3.%4　"/>
      <w:lvlJc w:val="left"/>
      <w:pPr>
        <w:ind w:left="0" w:firstLine="0"/>
      </w:pPr>
      <w:rPr>
        <w:rFonts w:hint="eastAsia" w:ascii="黑体" w:eastAsia="黑体"/>
        <w:b w:val="0"/>
        <w:i w:val="0"/>
        <w:sz w:val="21"/>
      </w:rPr>
    </w:lvl>
    <w:lvl w:ilvl="4" w:tentative="0">
      <w:start w:val="1"/>
      <w:numFmt w:val="decimal"/>
      <w:suff w:val="nothing"/>
      <w:lvlText w:val="%1%2.%3.%4.%5　"/>
      <w:lvlJc w:val="left"/>
      <w:pPr>
        <w:ind w:left="0" w:firstLine="0"/>
      </w:pPr>
      <w:rPr>
        <w:rFonts w:hint="eastAsia" w:ascii="黑体" w:eastAsia="黑体"/>
        <w:b w:val="0"/>
        <w:i w:val="0"/>
        <w:sz w:val="21"/>
      </w:rPr>
    </w:lvl>
    <w:lvl w:ilvl="5" w:tentative="0">
      <w:start w:val="1"/>
      <w:numFmt w:val="decimal"/>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RmNmNjYWU0MWRiMTJhNTExOGVmMDkxMmU4NjNjNDYifQ=="/>
  </w:docVars>
  <w:rsids>
    <w:rsidRoot w:val="00000000"/>
    <w:rsid w:val="0033792B"/>
    <w:rsid w:val="006146A2"/>
    <w:rsid w:val="00B611F9"/>
    <w:rsid w:val="00B64A66"/>
    <w:rsid w:val="00FB5ABC"/>
    <w:rsid w:val="01AA73A9"/>
    <w:rsid w:val="01AB2D3A"/>
    <w:rsid w:val="01CA71A8"/>
    <w:rsid w:val="01CD3C32"/>
    <w:rsid w:val="01E577D2"/>
    <w:rsid w:val="01ED2DEB"/>
    <w:rsid w:val="02131AA3"/>
    <w:rsid w:val="023D0302"/>
    <w:rsid w:val="02890A35"/>
    <w:rsid w:val="02CC685E"/>
    <w:rsid w:val="02D833AC"/>
    <w:rsid w:val="02F23C13"/>
    <w:rsid w:val="031F2AD7"/>
    <w:rsid w:val="03280485"/>
    <w:rsid w:val="040752C2"/>
    <w:rsid w:val="04384837"/>
    <w:rsid w:val="043E3380"/>
    <w:rsid w:val="045C1CE9"/>
    <w:rsid w:val="04770390"/>
    <w:rsid w:val="047855B6"/>
    <w:rsid w:val="047E346F"/>
    <w:rsid w:val="049F41ED"/>
    <w:rsid w:val="04A23DD4"/>
    <w:rsid w:val="04A368F2"/>
    <w:rsid w:val="05516C8F"/>
    <w:rsid w:val="059503A1"/>
    <w:rsid w:val="05A12EDF"/>
    <w:rsid w:val="05B647E5"/>
    <w:rsid w:val="05BD6E16"/>
    <w:rsid w:val="05D679EE"/>
    <w:rsid w:val="05FB1D02"/>
    <w:rsid w:val="061B1EF4"/>
    <w:rsid w:val="06A25035"/>
    <w:rsid w:val="070D580C"/>
    <w:rsid w:val="076F359E"/>
    <w:rsid w:val="07E02ABE"/>
    <w:rsid w:val="08155F6C"/>
    <w:rsid w:val="08194217"/>
    <w:rsid w:val="08503AF1"/>
    <w:rsid w:val="085213CE"/>
    <w:rsid w:val="087F4CE8"/>
    <w:rsid w:val="08835B3C"/>
    <w:rsid w:val="08BA414F"/>
    <w:rsid w:val="08BC4A19"/>
    <w:rsid w:val="09011560"/>
    <w:rsid w:val="094038F2"/>
    <w:rsid w:val="099C6145"/>
    <w:rsid w:val="09B71A38"/>
    <w:rsid w:val="09CD0A4B"/>
    <w:rsid w:val="0A411E24"/>
    <w:rsid w:val="0A6C196D"/>
    <w:rsid w:val="0AB130A7"/>
    <w:rsid w:val="0AB47515"/>
    <w:rsid w:val="0B964888"/>
    <w:rsid w:val="0BD03E0A"/>
    <w:rsid w:val="0BE046AE"/>
    <w:rsid w:val="0CB14C50"/>
    <w:rsid w:val="0D3A6DFA"/>
    <w:rsid w:val="0D4350FE"/>
    <w:rsid w:val="0D446852"/>
    <w:rsid w:val="0D691F70"/>
    <w:rsid w:val="0D8142AB"/>
    <w:rsid w:val="0DDB5725"/>
    <w:rsid w:val="0E4A164B"/>
    <w:rsid w:val="0E737497"/>
    <w:rsid w:val="0E765CF5"/>
    <w:rsid w:val="0E786874"/>
    <w:rsid w:val="0EA224A6"/>
    <w:rsid w:val="0EB72E6E"/>
    <w:rsid w:val="0EBE704C"/>
    <w:rsid w:val="0ED04A7F"/>
    <w:rsid w:val="0EF733AF"/>
    <w:rsid w:val="0F785920"/>
    <w:rsid w:val="0FC0137C"/>
    <w:rsid w:val="0FC74DCA"/>
    <w:rsid w:val="0FE02286"/>
    <w:rsid w:val="100B00E7"/>
    <w:rsid w:val="104B6548"/>
    <w:rsid w:val="10612ED1"/>
    <w:rsid w:val="106241A4"/>
    <w:rsid w:val="1098382E"/>
    <w:rsid w:val="10A20D9E"/>
    <w:rsid w:val="11136A75"/>
    <w:rsid w:val="11267E78"/>
    <w:rsid w:val="11345AC3"/>
    <w:rsid w:val="11547205"/>
    <w:rsid w:val="1177367F"/>
    <w:rsid w:val="11C06836"/>
    <w:rsid w:val="11D562DE"/>
    <w:rsid w:val="127A4F8D"/>
    <w:rsid w:val="12D9326C"/>
    <w:rsid w:val="130A19B2"/>
    <w:rsid w:val="132D10CD"/>
    <w:rsid w:val="13557C81"/>
    <w:rsid w:val="142060FC"/>
    <w:rsid w:val="14527FB3"/>
    <w:rsid w:val="14801C51"/>
    <w:rsid w:val="152E5729"/>
    <w:rsid w:val="159972D8"/>
    <w:rsid w:val="15A50E2E"/>
    <w:rsid w:val="15D01ABC"/>
    <w:rsid w:val="16235FC7"/>
    <w:rsid w:val="16580966"/>
    <w:rsid w:val="168C00BE"/>
    <w:rsid w:val="16EE4D8C"/>
    <w:rsid w:val="17102923"/>
    <w:rsid w:val="17421065"/>
    <w:rsid w:val="180515FB"/>
    <w:rsid w:val="183B5207"/>
    <w:rsid w:val="186A53D4"/>
    <w:rsid w:val="19174335"/>
    <w:rsid w:val="19313EF9"/>
    <w:rsid w:val="19324062"/>
    <w:rsid w:val="193919DC"/>
    <w:rsid w:val="194A2B95"/>
    <w:rsid w:val="194C695A"/>
    <w:rsid w:val="1967499D"/>
    <w:rsid w:val="198D7DBB"/>
    <w:rsid w:val="19995BBB"/>
    <w:rsid w:val="19B06B60"/>
    <w:rsid w:val="19BE5BF5"/>
    <w:rsid w:val="19C31FB6"/>
    <w:rsid w:val="19E61631"/>
    <w:rsid w:val="19F2158C"/>
    <w:rsid w:val="1A083BA4"/>
    <w:rsid w:val="1A084911"/>
    <w:rsid w:val="1A182F5A"/>
    <w:rsid w:val="1A7C3A0A"/>
    <w:rsid w:val="1A8579AC"/>
    <w:rsid w:val="1A8E6290"/>
    <w:rsid w:val="1B1F781E"/>
    <w:rsid w:val="1B2B43E8"/>
    <w:rsid w:val="1B42726A"/>
    <w:rsid w:val="1B8106EE"/>
    <w:rsid w:val="1B874E52"/>
    <w:rsid w:val="1BB06601"/>
    <w:rsid w:val="1CB52B76"/>
    <w:rsid w:val="1CE2245F"/>
    <w:rsid w:val="1CEC5DDB"/>
    <w:rsid w:val="1D0B2275"/>
    <w:rsid w:val="1D0C4B32"/>
    <w:rsid w:val="1D5F394A"/>
    <w:rsid w:val="1D8629D3"/>
    <w:rsid w:val="1D945EFE"/>
    <w:rsid w:val="1D983A72"/>
    <w:rsid w:val="1E2E5D23"/>
    <w:rsid w:val="1E9A6E37"/>
    <w:rsid w:val="1EBA0790"/>
    <w:rsid w:val="1F052575"/>
    <w:rsid w:val="1F357413"/>
    <w:rsid w:val="1F473D83"/>
    <w:rsid w:val="1FA84D5B"/>
    <w:rsid w:val="1FB10BEB"/>
    <w:rsid w:val="1FF80BC6"/>
    <w:rsid w:val="20470712"/>
    <w:rsid w:val="20725EB2"/>
    <w:rsid w:val="21850528"/>
    <w:rsid w:val="2191423B"/>
    <w:rsid w:val="21D14ECE"/>
    <w:rsid w:val="225B21BD"/>
    <w:rsid w:val="23560C5D"/>
    <w:rsid w:val="23B22B29"/>
    <w:rsid w:val="23F42EDE"/>
    <w:rsid w:val="23FB467C"/>
    <w:rsid w:val="24212DA7"/>
    <w:rsid w:val="24381C1B"/>
    <w:rsid w:val="246B7233"/>
    <w:rsid w:val="24994D53"/>
    <w:rsid w:val="24A942B2"/>
    <w:rsid w:val="24F37CE6"/>
    <w:rsid w:val="25C710FB"/>
    <w:rsid w:val="26162A75"/>
    <w:rsid w:val="262C7117"/>
    <w:rsid w:val="265B1349"/>
    <w:rsid w:val="267D2854"/>
    <w:rsid w:val="268705A0"/>
    <w:rsid w:val="26991094"/>
    <w:rsid w:val="27157CAB"/>
    <w:rsid w:val="27A375D9"/>
    <w:rsid w:val="280E5DC9"/>
    <w:rsid w:val="28192F7C"/>
    <w:rsid w:val="282772D5"/>
    <w:rsid w:val="28A906CB"/>
    <w:rsid w:val="28BD711B"/>
    <w:rsid w:val="29013DF7"/>
    <w:rsid w:val="29CA0C43"/>
    <w:rsid w:val="2A1C0B93"/>
    <w:rsid w:val="2A306027"/>
    <w:rsid w:val="2A4458DC"/>
    <w:rsid w:val="2AA75383"/>
    <w:rsid w:val="2ADE3D82"/>
    <w:rsid w:val="2AEA1511"/>
    <w:rsid w:val="2AF00E37"/>
    <w:rsid w:val="2B121B1A"/>
    <w:rsid w:val="2B615425"/>
    <w:rsid w:val="2B835C36"/>
    <w:rsid w:val="2BEF0F6D"/>
    <w:rsid w:val="2C8F4A19"/>
    <w:rsid w:val="2C9422CD"/>
    <w:rsid w:val="2C9873D6"/>
    <w:rsid w:val="2CB559BA"/>
    <w:rsid w:val="2CD5456E"/>
    <w:rsid w:val="2CE01084"/>
    <w:rsid w:val="2D0763E8"/>
    <w:rsid w:val="2D306DF7"/>
    <w:rsid w:val="2D403A66"/>
    <w:rsid w:val="2D5859D4"/>
    <w:rsid w:val="2DD51FE9"/>
    <w:rsid w:val="2DEB26F7"/>
    <w:rsid w:val="2DEC4C8C"/>
    <w:rsid w:val="2EA929CA"/>
    <w:rsid w:val="2EAB72E3"/>
    <w:rsid w:val="2F064FDB"/>
    <w:rsid w:val="2F2C6E6C"/>
    <w:rsid w:val="2F492C63"/>
    <w:rsid w:val="2F6856ED"/>
    <w:rsid w:val="302F6610"/>
    <w:rsid w:val="303837B5"/>
    <w:rsid w:val="304F3851"/>
    <w:rsid w:val="30A65435"/>
    <w:rsid w:val="30E91324"/>
    <w:rsid w:val="311A5F17"/>
    <w:rsid w:val="31227148"/>
    <w:rsid w:val="31270D9D"/>
    <w:rsid w:val="313E0256"/>
    <w:rsid w:val="31BA2D07"/>
    <w:rsid w:val="324968B2"/>
    <w:rsid w:val="328D3B89"/>
    <w:rsid w:val="32AC383F"/>
    <w:rsid w:val="32C13EE0"/>
    <w:rsid w:val="332B15CF"/>
    <w:rsid w:val="33873146"/>
    <w:rsid w:val="3396748D"/>
    <w:rsid w:val="33AB798C"/>
    <w:rsid w:val="33D24EFF"/>
    <w:rsid w:val="34532AA7"/>
    <w:rsid w:val="34802BEF"/>
    <w:rsid w:val="34B758FF"/>
    <w:rsid w:val="350C6804"/>
    <w:rsid w:val="351333BE"/>
    <w:rsid w:val="35222797"/>
    <w:rsid w:val="352B755D"/>
    <w:rsid w:val="356419B4"/>
    <w:rsid w:val="36142CFF"/>
    <w:rsid w:val="36285813"/>
    <w:rsid w:val="36321430"/>
    <w:rsid w:val="364A32DE"/>
    <w:rsid w:val="36681B02"/>
    <w:rsid w:val="36CD6C5F"/>
    <w:rsid w:val="373976C7"/>
    <w:rsid w:val="375167A6"/>
    <w:rsid w:val="38017FD1"/>
    <w:rsid w:val="382879AF"/>
    <w:rsid w:val="38734038"/>
    <w:rsid w:val="3903370E"/>
    <w:rsid w:val="39156D77"/>
    <w:rsid w:val="392D2087"/>
    <w:rsid w:val="396F0FD6"/>
    <w:rsid w:val="39B07711"/>
    <w:rsid w:val="39E21A45"/>
    <w:rsid w:val="3A64072E"/>
    <w:rsid w:val="3AA31FED"/>
    <w:rsid w:val="3AAB7D6D"/>
    <w:rsid w:val="3AC72D45"/>
    <w:rsid w:val="3AD0254B"/>
    <w:rsid w:val="3AD03953"/>
    <w:rsid w:val="3B056ED7"/>
    <w:rsid w:val="3CB42BAB"/>
    <w:rsid w:val="3CF62A26"/>
    <w:rsid w:val="3D5E189C"/>
    <w:rsid w:val="3D7C21C6"/>
    <w:rsid w:val="3DDA571D"/>
    <w:rsid w:val="3DED73B9"/>
    <w:rsid w:val="3E0A64B0"/>
    <w:rsid w:val="3E162C1A"/>
    <w:rsid w:val="3E4A1DDE"/>
    <w:rsid w:val="3E7F4164"/>
    <w:rsid w:val="3E851D68"/>
    <w:rsid w:val="3F364629"/>
    <w:rsid w:val="3F4A71F3"/>
    <w:rsid w:val="3FC75A66"/>
    <w:rsid w:val="3FF420C6"/>
    <w:rsid w:val="3FF5007E"/>
    <w:rsid w:val="400160ED"/>
    <w:rsid w:val="4028359B"/>
    <w:rsid w:val="40326F3C"/>
    <w:rsid w:val="407D638C"/>
    <w:rsid w:val="40B967F4"/>
    <w:rsid w:val="40D97C9D"/>
    <w:rsid w:val="412E6A1B"/>
    <w:rsid w:val="416A72E9"/>
    <w:rsid w:val="417D4860"/>
    <w:rsid w:val="418162F4"/>
    <w:rsid w:val="419E014D"/>
    <w:rsid w:val="41E06E6F"/>
    <w:rsid w:val="43374E2F"/>
    <w:rsid w:val="437520C4"/>
    <w:rsid w:val="43BA2DA9"/>
    <w:rsid w:val="43C62D8A"/>
    <w:rsid w:val="441736C1"/>
    <w:rsid w:val="443D1383"/>
    <w:rsid w:val="44B12D4B"/>
    <w:rsid w:val="44BE6449"/>
    <w:rsid w:val="44D025EB"/>
    <w:rsid w:val="44F36320"/>
    <w:rsid w:val="45A20BDC"/>
    <w:rsid w:val="45E42B8E"/>
    <w:rsid w:val="46181524"/>
    <w:rsid w:val="461B4044"/>
    <w:rsid w:val="46F1490E"/>
    <w:rsid w:val="4723102B"/>
    <w:rsid w:val="484D0DE2"/>
    <w:rsid w:val="4859160A"/>
    <w:rsid w:val="4860677F"/>
    <w:rsid w:val="486D7A43"/>
    <w:rsid w:val="493469A0"/>
    <w:rsid w:val="49407D14"/>
    <w:rsid w:val="496B06C5"/>
    <w:rsid w:val="49750E82"/>
    <w:rsid w:val="49862506"/>
    <w:rsid w:val="49920B7D"/>
    <w:rsid w:val="49FF75B4"/>
    <w:rsid w:val="4A320782"/>
    <w:rsid w:val="4AC955D8"/>
    <w:rsid w:val="4B041059"/>
    <w:rsid w:val="4B393526"/>
    <w:rsid w:val="4B941C1B"/>
    <w:rsid w:val="4BAE46A8"/>
    <w:rsid w:val="4BCA2D43"/>
    <w:rsid w:val="4C105624"/>
    <w:rsid w:val="4C1E2598"/>
    <w:rsid w:val="4C26705D"/>
    <w:rsid w:val="4C365BEF"/>
    <w:rsid w:val="4C7E0306"/>
    <w:rsid w:val="4C834940"/>
    <w:rsid w:val="4D183A98"/>
    <w:rsid w:val="4D240D2D"/>
    <w:rsid w:val="4D3572A7"/>
    <w:rsid w:val="4D375663"/>
    <w:rsid w:val="4D3F2ABE"/>
    <w:rsid w:val="4D525914"/>
    <w:rsid w:val="4D5E55DB"/>
    <w:rsid w:val="4D9623CC"/>
    <w:rsid w:val="4D9E09FF"/>
    <w:rsid w:val="4DB23C9C"/>
    <w:rsid w:val="4DB65D86"/>
    <w:rsid w:val="4DD527A0"/>
    <w:rsid w:val="4E0057F3"/>
    <w:rsid w:val="4E367C8E"/>
    <w:rsid w:val="4E3E5C18"/>
    <w:rsid w:val="4E7B1438"/>
    <w:rsid w:val="4ECE4AD7"/>
    <w:rsid w:val="4EE85DB6"/>
    <w:rsid w:val="4EEB2BFC"/>
    <w:rsid w:val="4F207B93"/>
    <w:rsid w:val="4F2D3A3D"/>
    <w:rsid w:val="4F30539A"/>
    <w:rsid w:val="4F617B5D"/>
    <w:rsid w:val="4F7B6DC2"/>
    <w:rsid w:val="4FCF7543"/>
    <w:rsid w:val="4FF26294"/>
    <w:rsid w:val="502F742F"/>
    <w:rsid w:val="50486415"/>
    <w:rsid w:val="507638D4"/>
    <w:rsid w:val="50B0009E"/>
    <w:rsid w:val="50B53D1D"/>
    <w:rsid w:val="50FE57E0"/>
    <w:rsid w:val="510D100A"/>
    <w:rsid w:val="51157DFC"/>
    <w:rsid w:val="51351747"/>
    <w:rsid w:val="519654C3"/>
    <w:rsid w:val="51AC63DC"/>
    <w:rsid w:val="51B242CA"/>
    <w:rsid w:val="52465732"/>
    <w:rsid w:val="52545871"/>
    <w:rsid w:val="528106FD"/>
    <w:rsid w:val="528C5EB9"/>
    <w:rsid w:val="530E03DB"/>
    <w:rsid w:val="53114E9C"/>
    <w:rsid w:val="53193B0F"/>
    <w:rsid w:val="534C4AB9"/>
    <w:rsid w:val="53626442"/>
    <w:rsid w:val="53906CFC"/>
    <w:rsid w:val="53D81E72"/>
    <w:rsid w:val="53EA5DAA"/>
    <w:rsid w:val="542331D4"/>
    <w:rsid w:val="548425C6"/>
    <w:rsid w:val="54A77033"/>
    <w:rsid w:val="54D2324F"/>
    <w:rsid w:val="550642C0"/>
    <w:rsid w:val="552D6E4E"/>
    <w:rsid w:val="55575364"/>
    <w:rsid w:val="5582408F"/>
    <w:rsid w:val="55881981"/>
    <w:rsid w:val="55BC63F0"/>
    <w:rsid w:val="55E476C0"/>
    <w:rsid w:val="562253CE"/>
    <w:rsid w:val="56350706"/>
    <w:rsid w:val="564B4746"/>
    <w:rsid w:val="56C371D5"/>
    <w:rsid w:val="574959DA"/>
    <w:rsid w:val="57736796"/>
    <w:rsid w:val="577E711A"/>
    <w:rsid w:val="57BB77EE"/>
    <w:rsid w:val="57BD0D84"/>
    <w:rsid w:val="58257ADD"/>
    <w:rsid w:val="58390E82"/>
    <w:rsid w:val="5880241E"/>
    <w:rsid w:val="58AA12F4"/>
    <w:rsid w:val="58AA65B2"/>
    <w:rsid w:val="58CD137E"/>
    <w:rsid w:val="592C3C1B"/>
    <w:rsid w:val="597938B2"/>
    <w:rsid w:val="59B501AF"/>
    <w:rsid w:val="59F25D13"/>
    <w:rsid w:val="5A3D43F7"/>
    <w:rsid w:val="5AD27936"/>
    <w:rsid w:val="5AE220BB"/>
    <w:rsid w:val="5AFB1313"/>
    <w:rsid w:val="5B2E5063"/>
    <w:rsid w:val="5B3E56F3"/>
    <w:rsid w:val="5B485ED2"/>
    <w:rsid w:val="5BA64563"/>
    <w:rsid w:val="5BF738B8"/>
    <w:rsid w:val="5C094BA2"/>
    <w:rsid w:val="5C3305E6"/>
    <w:rsid w:val="5C790492"/>
    <w:rsid w:val="5C873999"/>
    <w:rsid w:val="5CC474A0"/>
    <w:rsid w:val="5CFB4CFE"/>
    <w:rsid w:val="5DAA11E6"/>
    <w:rsid w:val="5E0A5A8D"/>
    <w:rsid w:val="5E2B07DA"/>
    <w:rsid w:val="5E59636E"/>
    <w:rsid w:val="5E82358F"/>
    <w:rsid w:val="5EAD6D0C"/>
    <w:rsid w:val="5EBE2643"/>
    <w:rsid w:val="5ED93B3E"/>
    <w:rsid w:val="5F00366E"/>
    <w:rsid w:val="5F503EB7"/>
    <w:rsid w:val="5F5543A7"/>
    <w:rsid w:val="5F6D1B51"/>
    <w:rsid w:val="5F7941CE"/>
    <w:rsid w:val="5F834A26"/>
    <w:rsid w:val="5FB21E94"/>
    <w:rsid w:val="5FC647A9"/>
    <w:rsid w:val="5FE07361"/>
    <w:rsid w:val="601233F6"/>
    <w:rsid w:val="6038418C"/>
    <w:rsid w:val="608A7CF3"/>
    <w:rsid w:val="60A91100"/>
    <w:rsid w:val="60B948C1"/>
    <w:rsid w:val="61152DB8"/>
    <w:rsid w:val="620C12DE"/>
    <w:rsid w:val="62855738"/>
    <w:rsid w:val="6289723B"/>
    <w:rsid w:val="62AA5E0A"/>
    <w:rsid w:val="62C01A6C"/>
    <w:rsid w:val="62D61109"/>
    <w:rsid w:val="62F816BA"/>
    <w:rsid w:val="6322385C"/>
    <w:rsid w:val="633E6AF4"/>
    <w:rsid w:val="63597B8A"/>
    <w:rsid w:val="63634EA1"/>
    <w:rsid w:val="643A3F6B"/>
    <w:rsid w:val="643E26A5"/>
    <w:rsid w:val="647C42A6"/>
    <w:rsid w:val="64880060"/>
    <w:rsid w:val="64FC2F04"/>
    <w:rsid w:val="6525109D"/>
    <w:rsid w:val="65377D6C"/>
    <w:rsid w:val="65905AD9"/>
    <w:rsid w:val="65A20D90"/>
    <w:rsid w:val="662B4B78"/>
    <w:rsid w:val="665A55FD"/>
    <w:rsid w:val="667115F6"/>
    <w:rsid w:val="66891860"/>
    <w:rsid w:val="669D7411"/>
    <w:rsid w:val="66E10790"/>
    <w:rsid w:val="66E37F79"/>
    <w:rsid w:val="67253815"/>
    <w:rsid w:val="67257A47"/>
    <w:rsid w:val="672D25AC"/>
    <w:rsid w:val="673D0B7B"/>
    <w:rsid w:val="67831090"/>
    <w:rsid w:val="679138D6"/>
    <w:rsid w:val="679301AA"/>
    <w:rsid w:val="67CA3050"/>
    <w:rsid w:val="67DE114A"/>
    <w:rsid w:val="68D312F0"/>
    <w:rsid w:val="68D57F09"/>
    <w:rsid w:val="68E35FE1"/>
    <w:rsid w:val="690C2AAD"/>
    <w:rsid w:val="692D6BCC"/>
    <w:rsid w:val="693A0759"/>
    <w:rsid w:val="694F2850"/>
    <w:rsid w:val="698614CF"/>
    <w:rsid w:val="69B4399F"/>
    <w:rsid w:val="69B8042B"/>
    <w:rsid w:val="6A1606DC"/>
    <w:rsid w:val="6A2F15FF"/>
    <w:rsid w:val="6AAF28FD"/>
    <w:rsid w:val="6B14562E"/>
    <w:rsid w:val="6B280004"/>
    <w:rsid w:val="6B3E3DCF"/>
    <w:rsid w:val="6B5802B3"/>
    <w:rsid w:val="6BBC4007"/>
    <w:rsid w:val="6BF4783E"/>
    <w:rsid w:val="6C4051D8"/>
    <w:rsid w:val="6C4206D6"/>
    <w:rsid w:val="6C644706"/>
    <w:rsid w:val="6C697997"/>
    <w:rsid w:val="6CAE2878"/>
    <w:rsid w:val="6CB97A99"/>
    <w:rsid w:val="6D0F32AD"/>
    <w:rsid w:val="6D4A0EB6"/>
    <w:rsid w:val="6DE03A19"/>
    <w:rsid w:val="6E1A7F88"/>
    <w:rsid w:val="6E3425B2"/>
    <w:rsid w:val="6E4157CB"/>
    <w:rsid w:val="6E427F6F"/>
    <w:rsid w:val="6EAE480E"/>
    <w:rsid w:val="6EB4545A"/>
    <w:rsid w:val="6EBB77BE"/>
    <w:rsid w:val="6EF32B03"/>
    <w:rsid w:val="6F5D6BF3"/>
    <w:rsid w:val="6F625753"/>
    <w:rsid w:val="6F9A0A9E"/>
    <w:rsid w:val="6FFA17D1"/>
    <w:rsid w:val="701C7198"/>
    <w:rsid w:val="703D36FF"/>
    <w:rsid w:val="705F5069"/>
    <w:rsid w:val="70BE6EC6"/>
    <w:rsid w:val="70D52BFE"/>
    <w:rsid w:val="71056A5C"/>
    <w:rsid w:val="719C568B"/>
    <w:rsid w:val="71D81315"/>
    <w:rsid w:val="71F56B38"/>
    <w:rsid w:val="722169A8"/>
    <w:rsid w:val="7235101C"/>
    <w:rsid w:val="72B113EF"/>
    <w:rsid w:val="731A1328"/>
    <w:rsid w:val="73450175"/>
    <w:rsid w:val="735D6AB4"/>
    <w:rsid w:val="73E04CC5"/>
    <w:rsid w:val="7437366C"/>
    <w:rsid w:val="744D4CE9"/>
    <w:rsid w:val="745A0145"/>
    <w:rsid w:val="74BD4EBF"/>
    <w:rsid w:val="74C40074"/>
    <w:rsid w:val="75B71C13"/>
    <w:rsid w:val="76034411"/>
    <w:rsid w:val="76173AFC"/>
    <w:rsid w:val="76405A5E"/>
    <w:rsid w:val="764241D8"/>
    <w:rsid w:val="76B820ED"/>
    <w:rsid w:val="76E801A8"/>
    <w:rsid w:val="77744726"/>
    <w:rsid w:val="77C542BF"/>
    <w:rsid w:val="77F71D8F"/>
    <w:rsid w:val="77FE2489"/>
    <w:rsid w:val="781269D5"/>
    <w:rsid w:val="783C224E"/>
    <w:rsid w:val="78597C1F"/>
    <w:rsid w:val="786C091D"/>
    <w:rsid w:val="786C6AB2"/>
    <w:rsid w:val="78C50DA8"/>
    <w:rsid w:val="78E4575B"/>
    <w:rsid w:val="78F47FA9"/>
    <w:rsid w:val="78F5399F"/>
    <w:rsid w:val="7A024DA7"/>
    <w:rsid w:val="7A2C413B"/>
    <w:rsid w:val="7A490D80"/>
    <w:rsid w:val="7A5A0E00"/>
    <w:rsid w:val="7A6904BF"/>
    <w:rsid w:val="7A6C2232"/>
    <w:rsid w:val="7A9E1BED"/>
    <w:rsid w:val="7AF11FA2"/>
    <w:rsid w:val="7BC632E9"/>
    <w:rsid w:val="7C165043"/>
    <w:rsid w:val="7C2815AA"/>
    <w:rsid w:val="7C326CAF"/>
    <w:rsid w:val="7C996812"/>
    <w:rsid w:val="7CBC79D0"/>
    <w:rsid w:val="7CFE2FF7"/>
    <w:rsid w:val="7D1A3088"/>
    <w:rsid w:val="7D20571F"/>
    <w:rsid w:val="7D2D0789"/>
    <w:rsid w:val="7D4D1A50"/>
    <w:rsid w:val="7D897F07"/>
    <w:rsid w:val="7DA62B5C"/>
    <w:rsid w:val="7DE47E0C"/>
    <w:rsid w:val="7DEA0C91"/>
    <w:rsid w:val="7E1238A5"/>
    <w:rsid w:val="7E424ED5"/>
    <w:rsid w:val="7E490594"/>
    <w:rsid w:val="7EA94B2D"/>
    <w:rsid w:val="7F7150ED"/>
    <w:rsid w:val="7F941ADF"/>
    <w:rsid w:val="7F9F441E"/>
    <w:rsid w:val="7FAF4666"/>
    <w:rsid w:val="7FE33B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nhideWhenUsed="0" w:uiPriority="39" w:semiHidden="0" w:name="toc 2"/>
    <w:lsdException w:qFormat="1" w:unhideWhenUsed="0"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kern w:val="0"/>
      <w:sz w:val="27"/>
      <w:szCs w:val="27"/>
      <w:lang w:val="en-US" w:eastAsia="zh-CN" w:bidi="ar"/>
    </w:rPr>
  </w:style>
  <w:style w:type="character" w:default="1" w:styleId="11">
    <w:name w:val="Default Paragraph Font"/>
    <w:semiHidden/>
    <w:qFormat/>
    <w:uiPriority w:val="0"/>
  </w:style>
  <w:style w:type="table" w:default="1" w:styleId="10">
    <w:name w:val="Normal Table"/>
    <w:semiHidden/>
    <w:qFormat/>
    <w:uiPriority w:val="0"/>
    <w:pPr>
      <w:keepNext w:val="0"/>
      <w:keepLines w:val="0"/>
      <w:widowControl/>
      <w:suppressLineNumbers w:val="0"/>
      <w:spacing w:before="0" w:beforeAutospacing="0" w:after="160" w:afterAutospacing="0" w:line="276" w:lineRule="auto"/>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toc 3"/>
    <w:basedOn w:val="1"/>
    <w:next w:val="1"/>
    <w:qFormat/>
    <w:uiPriority w:val="39"/>
    <w:pPr>
      <w:tabs>
        <w:tab w:val="right" w:leader="dot" w:pos="9242"/>
      </w:tabs>
      <w:ind w:firstLine="210" w:firstLineChars="100"/>
      <w:jc w:val="left"/>
    </w:pPr>
    <w:rPr>
      <w:rFonts w:ascii="宋体"/>
      <w:szCs w:val="21"/>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toc 1"/>
    <w:basedOn w:val="1"/>
    <w:next w:val="1"/>
    <w:unhideWhenUsed/>
    <w:qFormat/>
    <w:uiPriority w:val="39"/>
    <w:pPr>
      <w:ind w:firstLine="0" w:firstLineChars="0"/>
    </w:pPr>
  </w:style>
  <w:style w:type="paragraph" w:styleId="8">
    <w:name w:val="toc 2"/>
    <w:basedOn w:val="1"/>
    <w:next w:val="1"/>
    <w:qFormat/>
    <w:uiPriority w:val="39"/>
    <w:pPr>
      <w:tabs>
        <w:tab w:val="right" w:leader="dot" w:pos="9242"/>
      </w:tabs>
    </w:pPr>
    <w:rPr>
      <w:rFonts w:ascii="宋体"/>
      <w:szCs w:val="21"/>
    </w:rPr>
  </w:style>
  <w:style w:type="paragraph" w:styleId="9">
    <w:name w:val="Normal (Web)"/>
    <w:basedOn w:val="1"/>
    <w:qFormat/>
    <w:uiPriority w:val="0"/>
    <w:pPr>
      <w:spacing w:before="0" w:beforeAutospacing="1" w:after="0" w:afterAutospacing="1"/>
      <w:ind w:left="0" w:right="0"/>
      <w:jc w:val="left"/>
    </w:pPr>
    <w:rPr>
      <w:kern w:val="0"/>
      <w:sz w:val="24"/>
      <w:lang w:val="en-US" w:eastAsia="zh-CN" w:bidi="ar"/>
    </w:rPr>
  </w:style>
  <w:style w:type="character" w:styleId="12">
    <w:name w:val="Hyperlink"/>
    <w:basedOn w:val="11"/>
    <w:qFormat/>
    <w:uiPriority w:val="0"/>
    <w:rPr>
      <w:color w:val="0000FF"/>
      <w:u w:val="single"/>
    </w:rPr>
  </w:style>
  <w:style w:type="paragraph" w:customStyle="1" w:styleId="13">
    <w:name w:val="标准文件_一级无标题"/>
    <w:basedOn w:val="14"/>
    <w:qFormat/>
    <w:uiPriority w:val="0"/>
    <w:pPr>
      <w:spacing w:before="0" w:beforeLines="0" w:after="0" w:afterLines="0"/>
      <w:outlineLvl w:val="9"/>
    </w:pPr>
    <w:rPr>
      <w:rFonts w:ascii="宋体" w:eastAsia="宋体"/>
    </w:rPr>
  </w:style>
  <w:style w:type="paragraph" w:customStyle="1" w:styleId="14">
    <w:name w:val="标准文件_一级条标题"/>
    <w:basedOn w:val="15"/>
    <w:next w:val="16"/>
    <w:qFormat/>
    <w:uiPriority w:val="0"/>
    <w:pPr>
      <w:numPr>
        <w:ilvl w:val="2"/>
      </w:numPr>
      <w:spacing w:before="50" w:beforeLines="50" w:after="50" w:afterLines="50"/>
      <w:outlineLvl w:val="1"/>
    </w:pPr>
  </w:style>
  <w:style w:type="paragraph" w:customStyle="1" w:styleId="15">
    <w:name w:val="标准文件_章标题"/>
    <w:next w:val="16"/>
    <w:qFormat/>
    <w:uiPriority w:val="0"/>
    <w:pPr>
      <w:numPr>
        <w:ilvl w:val="1"/>
        <w:numId w:val="1"/>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6">
    <w:name w:val="标准文件_段"/>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17">
    <w:name w:val="封面标准名称"/>
    <w:qFormat/>
    <w:uiPriority w:val="0"/>
    <w:pPr>
      <w:framePr w:w="9639" w:h="6917" w:hRule="exact" w:wrap="around" w:vAnchor="page" w:hAnchor="page" w:xAlign="center" w:y="6407" w:anchorLock="1"/>
      <w:widowControl w:val="0"/>
      <w:spacing w:line="680" w:lineRule="exact"/>
      <w:jc w:val="center"/>
      <w:textAlignment w:val="center"/>
    </w:pPr>
    <w:rPr>
      <w:rFonts w:ascii="黑体" w:hAnsi="Calibri" w:eastAsia="黑体" w:cs="Times New Roman"/>
      <w:sz w:val="52"/>
      <w:lang w:val="en-US" w:eastAsia="zh-CN" w:bidi="ar-SA"/>
    </w:rPr>
  </w:style>
  <w:style w:type="paragraph" w:customStyle="1" w:styleId="18">
    <w:name w:val="封面标准英文名称"/>
    <w:basedOn w:val="17"/>
    <w:qFormat/>
    <w:uiPriority w:val="0"/>
    <w:pPr>
      <w:spacing w:before="370" w:line="400" w:lineRule="exact"/>
    </w:pPr>
    <w:rPr>
      <w:rFonts w:ascii="Times New Roman"/>
      <w:sz w:val="28"/>
      <w:szCs w:val="28"/>
    </w:rPr>
  </w:style>
  <w:style w:type="character" w:customStyle="1" w:styleId="19">
    <w:name w:val="fontstyle01"/>
    <w:basedOn w:val="11"/>
    <w:qFormat/>
    <w:uiPriority w:val="0"/>
    <w:rPr>
      <w:rFonts w:hint="eastAsia" w:ascii="宋体" w:hAnsi="宋体" w:eastAsia="宋体" w:cs="宋体"/>
      <w:color w:val="000000"/>
      <w:sz w:val="24"/>
      <w:szCs w:val="24"/>
    </w:rPr>
  </w:style>
  <w:style w:type="character" w:customStyle="1" w:styleId="20">
    <w:name w:val="fontstyle21"/>
    <w:basedOn w:val="11"/>
    <w:qFormat/>
    <w:uiPriority w:val="0"/>
    <w:rPr>
      <w:rFonts w:ascii="FZXBSK--GBK1-0" w:hAnsi="FZXBSK--GBK1-0" w:eastAsia="FZXBSK--GBK1-0" w:cs="FZXBSK--GBK1-0"/>
      <w:color w:val="000000"/>
      <w:sz w:val="44"/>
      <w:szCs w:val="44"/>
    </w:rPr>
  </w:style>
  <w:style w:type="paragraph" w:customStyle="1" w:styleId="21">
    <w:name w:val="NormalIndent"/>
    <w:basedOn w:val="1"/>
    <w:qFormat/>
    <w:uiPriority w:val="0"/>
    <w:pPr>
      <w:ind w:firstLine="420" w:firstLineChars="200"/>
    </w:pPr>
  </w:style>
  <w:style w:type="paragraph" w:customStyle="1" w:styleId="22">
    <w:name w:val="章"/>
    <w:basedOn w:val="1"/>
    <w:qFormat/>
    <w:uiPriority w:val="0"/>
    <w:pPr>
      <w:spacing w:beforeLines="50" w:afterLines="50" w:line="340" w:lineRule="exact"/>
    </w:pPr>
    <w:rPr>
      <w:rFonts w:ascii="黑体" w:hAnsi="宋体" w:eastAsia="黑体" w:cs="Times New Roman"/>
      <w:spacing w:val="4"/>
      <w:szCs w:val="21"/>
    </w:rPr>
  </w:style>
  <w:style w:type="paragraph" w:customStyle="1" w:styleId="23">
    <w:name w:val="WPSOffice手动目录 1"/>
    <w:qFormat/>
    <w:uiPriority w:val="0"/>
    <w:pPr>
      <w:ind w:leftChars="0"/>
    </w:pPr>
    <w:rPr>
      <w:rFonts w:asciiTheme="minorHAnsi" w:hAnsiTheme="minorHAnsi" w:eastAsiaTheme="minorEastAsia" w:cstheme="minorBidi"/>
      <w:sz w:val="20"/>
      <w:szCs w:val="20"/>
    </w:rPr>
  </w:style>
  <w:style w:type="paragraph" w:customStyle="1" w:styleId="24">
    <w:name w:val="标准文件_二级条标题"/>
    <w:next w:val="16"/>
    <w:qFormat/>
    <w:uiPriority w:val="0"/>
    <w:pPr>
      <w:widowControl w:val="0"/>
      <w:numPr>
        <w:ilvl w:val="3"/>
        <w:numId w:val="1"/>
      </w:numPr>
      <w:spacing w:before="50" w:beforeLines="50" w:after="50" w:afterLines="50"/>
      <w:jc w:val="both"/>
      <w:outlineLvl w:val="2"/>
    </w:pPr>
    <w:rPr>
      <w:rFonts w:ascii="黑体" w:hAnsi="Times New Roman" w:eastAsia="黑体" w:cs="Times New Roman"/>
      <w:sz w:val="21"/>
      <w:lang w:val="en-US" w:eastAsia="zh-CN" w:bidi="ar-SA"/>
    </w:rPr>
  </w:style>
  <w:style w:type="paragraph" w:customStyle="1" w:styleId="25">
    <w:name w:val="段"/>
    <w:basedOn w:val="1"/>
    <w:qFormat/>
    <w:uiPriority w:val="0"/>
    <w:pPr>
      <w:widowControl/>
      <w:adjustRightInd w:val="0"/>
      <w:snapToGrid w:val="0"/>
      <w:spacing w:line="340" w:lineRule="exact"/>
      <w:ind w:firstLine="200" w:firstLineChars="200"/>
    </w:pPr>
    <w:rPr>
      <w:rFonts w:ascii="Times New Roman" w:hAnsi="Times New Roman" w:eastAsia="宋体" w:cs="Times New Roman"/>
      <w:bCs/>
      <w:spacing w:val="4"/>
      <w:kern w:val="21"/>
      <w:szCs w:val="21"/>
    </w:rPr>
  </w:style>
  <w:style w:type="character" w:customStyle="1" w:styleId="26">
    <w:name w:val="标准文件_段 Char"/>
    <w:basedOn w:val="11"/>
    <w:qFormat/>
    <w:uiPriority w:val="0"/>
    <w:rPr>
      <w:rFonts w:hint="eastAsia" w:ascii="宋体" w:hAnsi="宋体" w:eastAsia="宋体" w:cs="宋体"/>
      <w:sz w:val="21"/>
    </w:rPr>
  </w:style>
</w:styles>
</file>

<file path=word/_rels/document.xml.rels><?xml version="1.0" encoding="UTF-8" standalone="yes"?>
<Relationships xmlns="http://schemas.openxmlformats.org/package/2006/relationships"><Relationship Id="rId8" Type="http://schemas.openxmlformats.org/officeDocument/2006/relationships/glossaryDocument" Target="glossary/document.xml"/><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8354397b-4f5d-484b-83dd-cb848492f26e}"/>
        <w:style w:val=""/>
        <w:category>
          <w:name w:val="常规"/>
          <w:gallery w:val="placeholder"/>
        </w:category>
        <w:types>
          <w:type w:val="bbPlcHdr"/>
        </w:types>
        <w:behaviors>
          <w:behavior w:val="content"/>
        </w:behaviors>
        <w:description w:val=""/>
        <w:guid w:val="{8354397b-4f5d-484b-83dd-cb848492f26e}"/>
      </w:docPartPr>
      <w:docPartBody>
        <w:p w14:paraId="49B89086">
          <w:r>
            <w:rPr>
              <w:color w:val="808080"/>
            </w:rPr>
            <w:t>单击此处输入文字。</w:t>
          </w:r>
        </w:p>
      </w:docPartBody>
    </w:docPart>
    <w:docPart>
      <w:docPartPr>
        <w:name w:val="{07f05882-59cd-480a-a3cb-fb477fcd4ec4}"/>
        <w:style w:val=""/>
        <w:category>
          <w:name w:val="常规"/>
          <w:gallery w:val="placeholder"/>
        </w:category>
        <w:types>
          <w:type w:val="bbPlcHdr"/>
        </w:types>
        <w:behaviors>
          <w:behavior w:val="content"/>
        </w:behaviors>
        <w:description w:val=""/>
        <w:guid w:val="{07f05882-59cd-480a-a3cb-fb477fcd4ec4}"/>
      </w:docPartPr>
      <w:docPartBody>
        <w:p w14:paraId="07EB1554">
          <w:r>
            <w:rPr>
              <w:color w:val="808080"/>
            </w:rPr>
            <w:t>单击此处输入文字。</w:t>
          </w:r>
        </w:p>
      </w:docPartBody>
    </w:docPart>
    <w:docPart>
      <w:docPartPr>
        <w:name w:val="{40d0f021-dfc8-429c-b74f-70b1c92564f4}"/>
        <w:style w:val=""/>
        <w:category>
          <w:name w:val="常规"/>
          <w:gallery w:val="placeholder"/>
        </w:category>
        <w:types>
          <w:type w:val="bbPlcHdr"/>
        </w:types>
        <w:behaviors>
          <w:behavior w:val="content"/>
        </w:behaviors>
        <w:description w:val=""/>
        <w:guid w:val="{40d0f021-dfc8-429c-b74f-70b1c92564f4}"/>
      </w:docPartPr>
      <w:docPartBody>
        <w:p w14:paraId="03BD01B2">
          <w:r>
            <w:rPr>
              <w:color w:val="808080"/>
            </w:rPr>
            <w:t>单击此处输入文字。</w:t>
          </w:r>
        </w:p>
      </w:docPartBody>
    </w:docPart>
    <w:docPart>
      <w:docPartPr>
        <w:name w:val="{70f49175-827b-41de-a1f9-663d84dc7474}"/>
        <w:style w:val=""/>
        <w:category>
          <w:name w:val="常规"/>
          <w:gallery w:val="placeholder"/>
        </w:category>
        <w:types>
          <w:type w:val="bbPlcHdr"/>
        </w:types>
        <w:behaviors>
          <w:behavior w:val="content"/>
        </w:behaviors>
        <w:description w:val=""/>
        <w:guid w:val="{70f49175-827b-41de-a1f9-663d84dc7474}"/>
      </w:docPartPr>
      <w:docPartBody>
        <w:p w14:paraId="11EA3500">
          <w:r>
            <w:rPr>
              <w:color w:val="808080"/>
            </w:rPr>
            <w:t>单击此处输入文字。</w:t>
          </w:r>
        </w:p>
      </w:docPartBody>
    </w:docPart>
    <w:docPart>
      <w:docPartPr>
        <w:name w:val="{3c071518-deed-44cc-8e49-23908fe9d513}"/>
        <w:style w:val=""/>
        <w:category>
          <w:name w:val="常规"/>
          <w:gallery w:val="placeholder"/>
        </w:category>
        <w:types>
          <w:type w:val="bbPlcHdr"/>
        </w:types>
        <w:behaviors>
          <w:behavior w:val="content"/>
        </w:behaviors>
        <w:description w:val=""/>
        <w:guid w:val="{3c071518-deed-44cc-8e49-23908fe9d513}"/>
      </w:docPartPr>
      <w:docPartBody>
        <w:p w14:paraId="17F9ACAB">
          <w:r>
            <w:rPr>
              <w:color w:val="808080"/>
            </w:rPr>
            <w:t>单击此处输入文字。</w:t>
          </w:r>
        </w:p>
      </w:docPartBody>
    </w:docPart>
    <w:docPart>
      <w:docPartPr>
        <w:name w:val="{0d8ddb0e-b91e-4574-a9da-648acabc7431}"/>
        <w:style w:val=""/>
        <w:category>
          <w:name w:val="常规"/>
          <w:gallery w:val="placeholder"/>
        </w:category>
        <w:types>
          <w:type w:val="bbPlcHdr"/>
        </w:types>
        <w:behaviors>
          <w:behavior w:val="content"/>
        </w:behaviors>
        <w:description w:val=""/>
        <w:guid w:val="{0d8ddb0e-b91e-4574-a9da-648acabc7431}"/>
      </w:docPartPr>
      <w:docPartBody>
        <w:p w14:paraId="054BD5F6">
          <w:r>
            <w:rPr>
              <w:color w:val="808080"/>
            </w:rPr>
            <w:t>单击此处输入文字。</w:t>
          </w:r>
        </w:p>
      </w:docPartBody>
    </w:docPart>
    <w:docPart>
      <w:docPartPr>
        <w:name w:val="{051ec34c-4a9a-4c56-bc00-7d3920940aea}"/>
        <w:style w:val=""/>
        <w:category>
          <w:name w:val="常规"/>
          <w:gallery w:val="placeholder"/>
        </w:category>
        <w:types>
          <w:type w:val="bbPlcHdr"/>
        </w:types>
        <w:behaviors>
          <w:behavior w:val="content"/>
        </w:behaviors>
        <w:description w:val=""/>
        <w:guid w:val="{051ec34c-4a9a-4c56-bc00-7d3920940aea}"/>
      </w:docPartPr>
      <w:docPartBody>
        <w:p w14:paraId="7A96A81F">
          <w:r>
            <w:rPr>
              <w:color w:val="808080"/>
            </w:rPr>
            <w:t>单击此处输入文字。</w:t>
          </w:r>
        </w:p>
      </w:docPartBody>
    </w:docPart>
    <w:docPart>
      <w:docPartPr>
        <w:name w:val="{18b0e598-2b94-486d-b763-ffb5286d2b25}"/>
        <w:style w:val=""/>
        <w:category>
          <w:name w:val="常规"/>
          <w:gallery w:val="placeholder"/>
        </w:category>
        <w:types>
          <w:type w:val="bbPlcHdr"/>
        </w:types>
        <w:behaviors>
          <w:behavior w:val="content"/>
        </w:behaviors>
        <w:description w:val=""/>
        <w:guid w:val="{18b0e598-2b94-486d-b763-ffb5286d2b25}"/>
      </w:docPartPr>
      <w:docPartBody>
        <w:p w14:paraId="6B0E72BC">
          <w:r>
            <w:rPr>
              <w:color w:val="808080"/>
            </w:rPr>
            <w:t>单击此处输入文字。</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compat>
    <w:useFELayout/>
    <w:splitPgBreakAndParaMark/>
    <w:compatSetting w:name="compatibilityMode" w:uri="http://schemas.microsoft.com/office/word" w:val="14"/>
  </w:compat>
  <w:rsids>
    <w:rsidRoot w:val="0000000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5060</Words>
  <Characters>5485</Characters>
  <Lines>0</Lines>
  <Paragraphs>0</Paragraphs>
  <TotalTime>1</TotalTime>
  <ScaleCrop>false</ScaleCrop>
  <LinksUpToDate>false</LinksUpToDate>
  <CharactersWithSpaces>5604</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2024-05-29T03:03:00Z</dcterms:created>
  <dc:creator>g'cell</dc:creator>
  <cp:lastModifiedBy>陶小荣</cp:lastModifiedBy>
  <dcterms:modified xsi:type="dcterms:W3CDTF">2025-02-25T11:28:59Z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A78E18FFC45E4F63BF684D7922640C14_13</vt:lpwstr>
  </property>
  <property fmtid="{D5CDD505-2E9C-101B-9397-08002B2CF9AE}" pid="4" name="KSOTemplateDocerSaveRecord">
    <vt:lpwstr>eyJoZGlkIjoiNDgwNGZhODg0YjU1NDNmNjE3Njc4MDU3YmJmMDYyMTkifQ==</vt:lpwstr>
  </property>
</Properties>
</file>