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0AF29C">
      <w:pPr>
        <w:adjustRightInd/>
        <w:snapToGrid/>
        <w:jc w:val="center"/>
        <w:rPr>
          <w:rFonts w:hint="eastAsia" w:ascii="Times" w:hAnsi="Times" w:eastAsia="黑体" w:cs="Times New Roman"/>
          <w:b/>
          <w:bCs/>
          <w:spacing w:val="5"/>
          <w:sz w:val="36"/>
          <w:szCs w:val="36"/>
        </w:rPr>
      </w:pPr>
      <w:r>
        <w:rPr>
          <w:rFonts w:hint="eastAsia" w:ascii="Times" w:hAnsi="Times" w:eastAsia="黑体" w:cs="Times New Roman"/>
          <w:b/>
          <w:bCs/>
          <w:spacing w:val="5"/>
          <w:sz w:val="36"/>
          <w:szCs w:val="36"/>
        </w:rPr>
        <w:t>《“厂中厂”安全生产管理规范》</w:t>
      </w:r>
      <w:r>
        <w:rPr>
          <w:rFonts w:hint="eastAsia" w:ascii="Times" w:hAnsi="Times" w:eastAsia="黑体" w:cs="Times New Roman"/>
          <w:b/>
          <w:bCs/>
          <w:spacing w:val="5"/>
          <w:sz w:val="36"/>
          <w:szCs w:val="36"/>
        </w:rPr>
        <w:br w:type="textWrapping"/>
      </w:r>
      <w:r>
        <w:rPr>
          <w:rFonts w:ascii="Times" w:hAnsi="Times" w:eastAsia="黑体" w:cs="Times New Roman"/>
          <w:b/>
          <w:bCs/>
          <w:spacing w:val="5"/>
          <w:sz w:val="36"/>
          <w:szCs w:val="36"/>
        </w:rPr>
        <w:t>编制说明</w:t>
      </w:r>
    </w:p>
    <w:p w14:paraId="140A27F6">
      <w:pPr>
        <w:adjustRightInd/>
        <w:snapToGrid/>
        <w:jc w:val="center"/>
        <w:rPr>
          <w:rFonts w:hint="eastAsia" w:ascii="Times" w:hAnsi="Times" w:eastAsia="黑体" w:cs="Times New Roman"/>
          <w:b/>
          <w:bCs/>
          <w:spacing w:val="5"/>
          <w:sz w:val="36"/>
          <w:szCs w:val="36"/>
        </w:rPr>
      </w:pPr>
    </w:p>
    <w:p w14:paraId="64ABC150">
      <w:pPr>
        <w:numPr>
          <w:ilvl w:val="255"/>
          <w:numId w:val="0"/>
        </w:numPr>
        <w:adjustRightInd/>
        <w:snapToGrid/>
        <w:spacing w:line="360" w:lineRule="auto"/>
        <w:jc w:val="left"/>
        <w:outlineLvl w:val="0"/>
        <w:rPr>
          <w:rFonts w:hint="eastAsia" w:ascii="Times" w:hAnsi="Times" w:eastAsia="宋体" w:cs="Times New Roman"/>
          <w:b/>
          <w:sz w:val="28"/>
          <w:szCs w:val="28"/>
        </w:rPr>
      </w:pPr>
      <w:r>
        <w:rPr>
          <w:rFonts w:hint="eastAsia" w:ascii="Times" w:hAnsi="Times" w:eastAsia="宋体" w:cs="Times New Roman"/>
          <w:b/>
          <w:sz w:val="28"/>
          <w:szCs w:val="28"/>
        </w:rPr>
        <w:t>一、目的意义</w:t>
      </w:r>
    </w:p>
    <w:p w14:paraId="2C23F5B4">
      <w:pPr>
        <w:adjustRightInd/>
        <w:snapToGrid/>
        <w:spacing w:line="360" w:lineRule="auto"/>
        <w:ind w:firstLine="480" w:firstLineChars="200"/>
        <w:outlineLvl w:val="1"/>
        <w:rPr>
          <w:rFonts w:hint="eastAsia" w:ascii="Times" w:hAnsi="Times" w:eastAsia="宋体" w:cs="宋体"/>
          <w:sz w:val="24"/>
        </w:rPr>
      </w:pPr>
      <w:r>
        <w:rPr>
          <w:rFonts w:hint="eastAsia" w:ascii="Times" w:hAnsi="Times" w:eastAsia="宋体" w:cs="宋体"/>
          <w:sz w:val="24"/>
        </w:rPr>
        <w:t>1、产业发展现状</w:t>
      </w:r>
    </w:p>
    <w:p w14:paraId="7A95B37C">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在经济社会快速发展的今天，工业用地需求大，由于国有企业转型升级、大型企业落后产能淘汰、企业外迁、企业经营不善或本身不适应市场需求衍生了许多工业厂（库）房出租承租市场，并且租赁此类厂房车间具有原始投资成本少、投产周期短、开展生产经营迅速等多方面优势，非常适合初始创业人员、个体户或小微企业，由此逐步发展成为“厂中厂”模式。</w:t>
      </w:r>
    </w:p>
    <w:p w14:paraId="5C13859F">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厂中厂”模式让产业集聚效应更显著。在江苏省的苏州、无锡、常州等地，“厂中厂”模式已经成为工业园区的重要组成部分。通过“厂中厂”模式，大量中小企业得以在有限的土地资源上集聚发展，形成了产业链上下游的紧密合作。例如，在苏州某工业园区，通过“厂中厂”模式引进了数十家电子信息产业链上的企业，实现了从原材料供应到成品制造的全产业链覆盖，大大提高了产业协作效率。</w:t>
      </w:r>
    </w:p>
    <w:p w14:paraId="73F9FC0D">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厂中厂”模式为创新创业提供了良好的发展空间。许多创业公司和中小微企业借助“厂中厂”的低成本、高灵活性特点，迅速开展生产和研发活动。常州某高科技园区，通过“厂中厂”模式吸引了大量高科技创业团队，形成了浓厚的创新创业氛围，推动了区域经济的高质量发展。</w:t>
      </w:r>
    </w:p>
    <w:p w14:paraId="58477003">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纵观江苏省内，约有80%的企业为中小企业，其中相当一部分是“厂中厂”，据统计全省共有“厂中厂”出租方3.4万家、承租企业11.2万家，其中单幢分割分层出租厂房1.7万处、承租企业5.7万家。</w:t>
      </w:r>
      <w:r>
        <w:rPr>
          <w:rFonts w:ascii="宋体" w:hAnsi="宋体" w:eastAsia="宋体" w:cs="宋体"/>
          <w:sz w:val="24"/>
        </w:rPr>
        <w:t>苏南地区以高端制造、电子信息为主，苏中以轻工纺织、机械加工为主，苏北以劳动密集型产业为主。产业集聚虽促进经济发展，但多业态混合、高风险企业扎堆带来的安全风险显著</w:t>
      </w:r>
      <w:r>
        <w:rPr>
          <w:rFonts w:hint="eastAsia" w:ascii="宋体" w:hAnsi="宋体" w:eastAsia="宋体" w:cs="宋体"/>
          <w:sz w:val="24"/>
        </w:rPr>
        <w:t>增大</w:t>
      </w:r>
      <w:r>
        <w:rPr>
          <w:rFonts w:ascii="宋体" w:hAnsi="宋体" w:eastAsia="宋体" w:cs="宋体"/>
          <w:sz w:val="24"/>
        </w:rPr>
        <w:t>。</w:t>
      </w:r>
      <w:r>
        <w:rPr>
          <w:rFonts w:hint="eastAsia" w:ascii="Times" w:hAnsi="Times" w:eastAsia="宋体" w:cs="宋体"/>
          <w:sz w:val="24"/>
        </w:rPr>
        <w:t>主体责任落实难、</w:t>
      </w:r>
      <w:r>
        <w:rPr>
          <w:rFonts w:ascii="宋体" w:hAnsi="宋体" w:eastAsia="宋体" w:cs="宋体"/>
          <w:sz w:val="24"/>
        </w:rPr>
        <w:t>风险叠加隐患多</w:t>
      </w:r>
      <w:r>
        <w:rPr>
          <w:rFonts w:hint="eastAsia" w:ascii="宋体" w:hAnsi="宋体" w:eastAsia="宋体" w:cs="宋体"/>
          <w:sz w:val="24"/>
        </w:rPr>
        <w:t>、</w:t>
      </w:r>
      <w:r>
        <w:rPr>
          <w:rFonts w:ascii="宋体" w:hAnsi="宋体" w:eastAsia="宋体" w:cs="宋体"/>
          <w:sz w:val="24"/>
        </w:rPr>
        <w:t>应急能力薄弱</w:t>
      </w:r>
      <w:r>
        <w:rPr>
          <w:rFonts w:hint="eastAsia" w:ascii="Times" w:hAnsi="Times" w:eastAsia="宋体" w:cs="宋体"/>
          <w:sz w:val="24"/>
        </w:rPr>
        <w:t>等，一直是“厂中厂”安全治理的难点。</w:t>
      </w:r>
    </w:p>
    <w:p w14:paraId="47A11581">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2024年我省出台《江苏省“厂中厂”安全生产专项整治工作方案》，明确要求全面排查“厂中厂”企业底数，重点整治违规出租、责任不清、管理混乱等问题。不少地市也着眼“厂中厂”企业监管难点堵点，出台相关管理办法、指导手册，明确工作要点，探索为其安全运行提供规范指引。常州市武进区发布《武进区深化“厂中厂”安全管理实施方案》，压实租赁双方主体责任和各层级监管责任；淮安市针对项目准入评审，在县级层面明确“厂中厂”承租项目正面清单或负面清单并进行评审。泰州市制定“厂中厂”安全管理标准，明确产权单位安全“第一责任人”要求，厘清租赁双方安全主体责任和管理职责；苏州工业园区制定实施《租赁厂房安全管理导则》明确租赁厂房各方安全管理责任等。</w:t>
      </w:r>
    </w:p>
    <w:p w14:paraId="09C2DDB8">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2024年2月以来，我省全链条推进“厂中厂”专项治理，围绕“防得住、控得了、逃得出”的整治目标，推进“厂中厂”安全管理能力持续提升，探索出分级管控、“负面清单”等举措。省内开展“摸底排查—集中整治—验收提升”三阶段行动，重点整治“三合一”场所、违法搭建、危险作业等问题。建立“厂中厂”企业档案，包括出租方、承租方信息、安全协议、隐患整改记录等。各地也积极推进“厂中厂”安全生产专项治理。江阴市开发应用出租方线上报备承租户小程序，推动“厂中厂”安全监管关口前移，采取“房东主动报备—镇街部门联审—市级指导督查”形式，压实出租方主体责任，落实“联合会诊”机制。南通市发布《</w:t>
      </w:r>
      <w:r>
        <w:rPr>
          <w:rFonts w:hint="eastAsia" w:ascii="Times" w:hAnsi="Times" w:eastAsia="宋体" w:cs="宋体"/>
          <w:sz w:val="24"/>
          <w:lang w:eastAsia="zh-CN"/>
        </w:rPr>
        <w:t>“</w:t>
      </w:r>
      <w:r>
        <w:rPr>
          <w:rFonts w:hint="eastAsia" w:ascii="Times" w:hAnsi="Times" w:eastAsia="宋体" w:cs="宋体"/>
          <w:sz w:val="24"/>
        </w:rPr>
        <w:t>厂中厂</w:t>
      </w:r>
      <w:r>
        <w:rPr>
          <w:rFonts w:hint="eastAsia" w:ascii="Times" w:hAnsi="Times" w:eastAsia="宋体" w:cs="宋体"/>
          <w:sz w:val="24"/>
          <w:lang w:eastAsia="zh-CN"/>
        </w:rPr>
        <w:t>”</w:t>
      </w:r>
      <w:r>
        <w:rPr>
          <w:rFonts w:hint="eastAsia" w:ascii="Times" w:hAnsi="Times" w:eastAsia="宋体" w:cs="宋体"/>
          <w:sz w:val="24"/>
        </w:rPr>
        <w:t>安全管理负面清单》，明确11条禁止行为，细化厂房出租的安全标准。针对苏南片区“厂中厂”分布集中的情况，我省建立“12＋9＋N”治理体系，即省级层面组织对江阴市、常州新北区、苏州吴江区等12个重点县（市、区）开展服务指导和专项检查；南京江宁区、南通海门区、扬州江都区等9个县（市、区）由所在设区市作为重点对象组织检查指导；其他地区选出N个重点乡镇，由县（市、区）推动重点治理。许多工业园区建立了统一的管理服务平台，为入驻企业提供包括物业管理、安全生产、环保监管等在内的全方位服务。通过信息化手段，实现了对企业生产活动的实时监控和管理，提高了园区的整体运营效率。</w:t>
      </w:r>
    </w:p>
    <w:p w14:paraId="13C085E2">
      <w:pPr>
        <w:adjustRightInd/>
        <w:snapToGrid/>
        <w:spacing w:line="360" w:lineRule="auto"/>
        <w:ind w:firstLine="480" w:firstLineChars="200"/>
        <w:outlineLvl w:val="1"/>
        <w:rPr>
          <w:rFonts w:hint="eastAsia" w:ascii="Times" w:hAnsi="Times" w:eastAsia="宋体" w:cs="宋体"/>
          <w:sz w:val="24"/>
        </w:rPr>
      </w:pPr>
      <w:r>
        <w:rPr>
          <w:rFonts w:hint="eastAsia" w:ascii="Times" w:hAnsi="Times" w:eastAsia="宋体" w:cs="宋体"/>
          <w:sz w:val="24"/>
        </w:rPr>
        <w:t>2、必要性</w:t>
      </w:r>
    </w:p>
    <w:p w14:paraId="5BDCDEC1">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在“厂中厂”安全管理方面虽取得了一定成效，但安全生产事故仍然频发。例如，2023年4月21日，海宁市一企业发生火灾，经调查，该企业存在典型的“厂中厂”情况，起火建筑为四层砖混结构厂房，起火层位于第三层，燃烧物质为纸箱、泡沫、塑料件；2023年4月17日，位于浙江省金华市武义县的浙江伟嘉利工贸有限公司发生一起重大火灾事故，导致11人死亡，过火面积约9000平方米，直接经济损失2806.5万元，事故调查报告显示，事故建筑物共有6家公司承租，是典型的“厂中厂”，火灾由其中一家公司组织违规电焊引发。</w:t>
      </w:r>
    </w:p>
    <w:p w14:paraId="435A8009">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这些“厂中厂”生产安全事故造成严重的人员伤亡和财产损失，也暴露出安全管理的薄弱环节：一是政府部门监管存在盲区，厂房（仓库）建成后再进行分隔改造，一般都不会申报工程审批手续，施工现场消防安全监管责任不够明确，日常安全监管存在盲区。二是安全管理责任边界不清，</w:t>
      </w:r>
      <w:r>
        <w:rPr>
          <w:rFonts w:ascii="Times" w:hAnsi="Times" w:eastAsia="宋体" w:cs="宋体"/>
          <w:sz w:val="24"/>
        </w:rPr>
        <w:t>出租方、承租方安全协议缺失或条款不清，</w:t>
      </w:r>
      <w:r>
        <w:rPr>
          <w:rFonts w:hint="eastAsia" w:ascii="Times" w:hAnsi="Times" w:eastAsia="宋体" w:cs="宋体"/>
          <w:sz w:val="24"/>
        </w:rPr>
        <w:t>安全</w:t>
      </w:r>
      <w:r>
        <w:rPr>
          <w:rFonts w:ascii="Times" w:hAnsi="Times" w:eastAsia="宋体" w:cs="宋体"/>
          <w:sz w:val="24"/>
        </w:rPr>
        <w:t>责任未明确</w:t>
      </w:r>
      <w:r>
        <w:rPr>
          <w:rFonts w:hint="eastAsia" w:ascii="Times" w:hAnsi="Times" w:eastAsia="宋体" w:cs="宋体"/>
          <w:sz w:val="24"/>
        </w:rPr>
        <w:t>，导致</w:t>
      </w:r>
      <w:r>
        <w:rPr>
          <w:rFonts w:ascii="Times" w:hAnsi="Times" w:eastAsia="宋体" w:cs="宋体"/>
          <w:sz w:val="24"/>
        </w:rPr>
        <w:t>消防、电力等公共设施维护责任悬空</w:t>
      </w:r>
      <w:r>
        <w:rPr>
          <w:rFonts w:hint="eastAsia" w:ascii="Times" w:hAnsi="Times" w:eastAsia="宋体" w:cs="宋体"/>
          <w:sz w:val="24"/>
        </w:rPr>
        <w:t>，隐患排查、应急演练等环节无人落实。三是安全管理混乱，分租厂房、仓库没有明确安全管理人员、没有规范合理的安全管理制度；未落实安全责任制、无日常安全检查、无设施检查维护，也无火源、电源管控等规章制度。四是</w:t>
      </w:r>
      <w:r>
        <w:rPr>
          <w:rFonts w:ascii="Times" w:hAnsi="Times" w:eastAsia="宋体" w:cs="宋体"/>
          <w:sz w:val="24"/>
        </w:rPr>
        <w:t>风险叠加隐患多</w:t>
      </w:r>
      <w:r>
        <w:rPr>
          <w:rFonts w:hint="eastAsia" w:ascii="Times" w:hAnsi="Times" w:eastAsia="宋体" w:cs="宋体"/>
          <w:sz w:val="24"/>
        </w:rPr>
        <w:t>，</w:t>
      </w:r>
      <w:r>
        <w:rPr>
          <w:rFonts w:ascii="Times" w:hAnsi="Times" w:eastAsia="宋体" w:cs="宋体"/>
          <w:sz w:val="24"/>
        </w:rPr>
        <w:t>多</w:t>
      </w:r>
      <w:r>
        <w:rPr>
          <w:rFonts w:hint="eastAsia" w:ascii="Times" w:hAnsi="Times" w:eastAsia="宋体" w:cs="宋体"/>
          <w:sz w:val="24"/>
          <w:lang w:val="en-US" w:eastAsia="zh-CN"/>
        </w:rPr>
        <w:t>家</w:t>
      </w:r>
      <w:r>
        <w:rPr>
          <w:rFonts w:ascii="Times" w:hAnsi="Times" w:eastAsia="宋体" w:cs="宋体"/>
          <w:sz w:val="24"/>
        </w:rPr>
        <w:t>企业共用消防、电力、燃气等基础设施，</w:t>
      </w:r>
      <w:r>
        <w:rPr>
          <w:rFonts w:hint="eastAsia" w:ascii="Times" w:hAnsi="Times" w:eastAsia="宋体" w:cs="宋体"/>
          <w:sz w:val="24"/>
        </w:rPr>
        <w:t>建筑消防安全设施严重不足，建筑固定设施不全或未保持完好有效，消防器材配置不足；</w:t>
      </w:r>
      <w:r>
        <w:rPr>
          <w:rFonts w:ascii="Times" w:hAnsi="Times" w:eastAsia="宋体" w:cs="宋体"/>
          <w:sz w:val="24"/>
        </w:rPr>
        <w:t>厂房违规分隔导致疏散通道狭窄、安全出口堵塞</w:t>
      </w:r>
      <w:r>
        <w:rPr>
          <w:rFonts w:hint="eastAsia" w:ascii="Times" w:hAnsi="Times" w:eastAsia="宋体" w:cs="宋体"/>
          <w:sz w:val="24"/>
        </w:rPr>
        <w:t>；</w:t>
      </w:r>
      <w:r>
        <w:rPr>
          <w:rFonts w:ascii="Times" w:hAnsi="Times" w:eastAsia="宋体" w:cs="宋体"/>
          <w:sz w:val="24"/>
        </w:rPr>
        <w:t>擅自搭建钢构夹层、使用泡沫夹芯板等易燃材料</w:t>
      </w:r>
      <w:r>
        <w:rPr>
          <w:rFonts w:hint="eastAsia" w:ascii="Times" w:hAnsi="Times" w:eastAsia="宋体" w:cs="宋体"/>
          <w:sz w:val="24"/>
        </w:rPr>
        <w:t>；</w:t>
      </w:r>
      <w:r>
        <w:rPr>
          <w:rFonts w:ascii="Times" w:hAnsi="Times" w:eastAsia="宋体" w:cs="宋体"/>
          <w:sz w:val="24"/>
        </w:rPr>
        <w:t> 电气线路私拉乱接、违规使用大功率设备</w:t>
      </w:r>
      <w:r>
        <w:rPr>
          <w:rFonts w:hint="eastAsia" w:ascii="Times" w:hAnsi="Times" w:eastAsia="宋体" w:cs="宋体"/>
          <w:sz w:val="24"/>
        </w:rPr>
        <w:t>；</w:t>
      </w:r>
      <w:r>
        <w:rPr>
          <w:rFonts w:ascii="Times" w:hAnsi="Times" w:eastAsia="宋体" w:cs="宋体"/>
          <w:sz w:val="24"/>
        </w:rPr>
        <w:t>交叉作业频繁，易引发连锁事故。</w:t>
      </w:r>
      <w:r>
        <w:rPr>
          <w:rFonts w:hint="eastAsia" w:ascii="Times" w:hAnsi="Times" w:eastAsia="宋体" w:cs="宋体"/>
          <w:sz w:val="24"/>
        </w:rPr>
        <w:t>五是应急能力不足，出租方与承租方未制定联合应急预案，逃生路线冲突、报警系统不互通；从业人员安全意识薄弱，小微企业员工流动性大，安全培训不到位，不熟悉逃生路线和灭火器材使用方法。</w:t>
      </w:r>
    </w:p>
    <w:p w14:paraId="01EE9EA8">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总结当前“厂中厂”安全管理存在“三无三难”痛点——责任无边界、操作无规范、监管无抓手，风险排查难、隐患整改难、长效治理难。尽管应急管理部门已开展专项整治并出台部分政策，但现有措施多为阶段性、零散化要求，缺乏系统性、强制性的标准支撑，难以从根本上破解责任推诿、风险叠加等深层矛盾。</w:t>
      </w:r>
    </w:p>
    <w:p w14:paraId="3A494E26">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鉴于此，将“厂中厂”安全管理从“被动整治”转向“主动防控”，从“经验管理”升级为“标准治理”势在必行。本标准的制定可以为“厂中厂”企业提供安全管理的指导原则、操作流程、应急响应等方</w:t>
      </w:r>
      <w:r>
        <w:rPr>
          <w:rFonts w:hint="eastAsia" w:ascii="Times" w:hAnsi="Times" w:eastAsia="宋体" w:cs="宋体"/>
          <w:sz w:val="24"/>
          <w:lang w:eastAsia="zh-CN"/>
        </w:rPr>
        <w:t>面的</w:t>
      </w:r>
      <w:r>
        <w:rPr>
          <w:rFonts w:hint="eastAsia" w:ascii="Times" w:hAnsi="Times" w:eastAsia="宋体" w:cs="宋体"/>
          <w:sz w:val="24"/>
        </w:rPr>
        <w:t>标准化要求，有助于企业提升员工的安全意识和操作技能，提升企业安全生产和应急管理水平；可以推动行业内企业之间的安全管理水平均衡发展，避免因安全管理不善而导致的恶性竞争；可以为政府监管部门提供“厂中厂”安全监管依据，明确监管责任，严格监管执法，提升监管效能，建立健全长效管理机制。本标准的编制既是落实《中华人民共和国安全生产法》《江苏省安全生产条例》关于“多单位场所协同管理”要求的关键举措，也是破解当前治理瓶颈、服务全省高质量发展的必然选择。通过标准化建设，有望将“厂中厂”从“事故高发区”转化为“安全示范区”，为全国同类场景提供可复制的江苏经验。</w:t>
      </w:r>
    </w:p>
    <w:p w14:paraId="2947EDB6">
      <w:pPr>
        <w:adjustRightInd/>
        <w:snapToGrid/>
        <w:spacing w:line="360" w:lineRule="auto"/>
        <w:ind w:firstLine="480" w:firstLineChars="200"/>
        <w:outlineLvl w:val="1"/>
        <w:rPr>
          <w:rFonts w:hint="eastAsia" w:ascii="Times" w:hAnsi="Times" w:eastAsia="宋体" w:cs="宋体"/>
          <w:sz w:val="24"/>
        </w:rPr>
      </w:pPr>
      <w:r>
        <w:rPr>
          <w:rFonts w:hint="eastAsia" w:ascii="Times" w:hAnsi="Times" w:eastAsia="宋体" w:cs="宋体"/>
          <w:sz w:val="24"/>
        </w:rPr>
        <w:t>3、可行性</w:t>
      </w:r>
    </w:p>
    <w:p w14:paraId="47772ACB">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标准承担单位江苏省安全生产科学研究院是江苏省省属事业单位，是江苏省应急管理厅直属的省级科研事业单位，是全省唯一综合性安全生产科技研发机构。</w:t>
      </w:r>
      <w:r>
        <w:rPr>
          <w:rFonts w:hint="eastAsia" w:ascii="Times" w:hAnsi="Times" w:eastAsia="宋体" w:cs="宋体"/>
          <w:sz w:val="24"/>
          <w:lang w:val="en-US" w:eastAsia="zh-CN"/>
        </w:rPr>
        <w:t>省安科</w:t>
      </w:r>
      <w:r>
        <w:rPr>
          <w:rFonts w:hint="eastAsia" w:ascii="Times" w:hAnsi="Times" w:eastAsia="宋体" w:cs="宋体"/>
          <w:sz w:val="24"/>
        </w:rPr>
        <w:t>院的安全生产技术标准制定在全国有较大影响，涂装作业安全标准的制定与研究全国领先，作为全国安全生产标准化技术委员会涂装作业分技术委员会秘书处承担单位和江苏省安全生产标准化技术委员会秘书处承担单位，先后承担（参与）各类标准制修订项目97项。</w:t>
      </w:r>
    </w:p>
    <w:p w14:paraId="41B1991E">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标准编制组成员前期参与我省“厂中厂”安全生产专项治理和明察暗访，掌握全省“厂中厂”风险分布、事故致因等核心数据，可精准定位标准关键控制点。编制组成员均具有丰富的国家标准、行业和地方标准制修订经验以及安全管理领域专业背景。因此，编制单位具有较好的研究基础，且相关研究成果也能够支撑本标准的制定与实施。</w:t>
      </w:r>
    </w:p>
    <w:p w14:paraId="554BF8E7">
      <w:pPr>
        <w:adjustRightInd/>
        <w:snapToGrid/>
        <w:spacing w:line="360" w:lineRule="auto"/>
        <w:ind w:firstLine="480" w:firstLineChars="200"/>
        <w:outlineLvl w:val="1"/>
        <w:rPr>
          <w:rFonts w:hint="eastAsia" w:ascii="Times" w:hAnsi="Times" w:eastAsia="宋体" w:cs="宋体"/>
          <w:sz w:val="24"/>
        </w:rPr>
      </w:pPr>
      <w:r>
        <w:rPr>
          <w:rFonts w:hint="eastAsia" w:ascii="Times" w:hAnsi="Times" w:eastAsia="宋体" w:cs="宋体"/>
          <w:sz w:val="24"/>
        </w:rPr>
        <w:t>4、预期经济社会效益</w:t>
      </w:r>
    </w:p>
    <w:p w14:paraId="5E988A10">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本标准的研究制定，有利于通过减少工伤事故和生产环境污染等不安全因素带来的损失，降低企业的直接和间接成本，有助于提高员工的工作效率和生产质量，降低生产成本，提升企业的竞争力，提高市场份额和品牌价值。同时，规范的安全生产管理也有助于企业树立良好的形象和声誉，增加消费者的信任和忠诚度，提高社会影响力，促进企业的长期发展。对于监管部门来讲，本标准可以为监管执法活动提供参考依据，提高社会的安全水平，保障生命财产安全。</w:t>
      </w:r>
    </w:p>
    <w:p w14:paraId="1CF560FB">
      <w:pPr>
        <w:numPr>
          <w:ilvl w:val="255"/>
          <w:numId w:val="0"/>
        </w:numPr>
        <w:adjustRightInd/>
        <w:snapToGrid/>
        <w:spacing w:line="360" w:lineRule="auto"/>
        <w:jc w:val="left"/>
        <w:outlineLvl w:val="0"/>
        <w:rPr>
          <w:rFonts w:hint="eastAsia" w:ascii="Times" w:hAnsi="Times" w:eastAsia="宋体" w:cs="Times New Roman"/>
          <w:b/>
          <w:sz w:val="28"/>
          <w:szCs w:val="28"/>
        </w:rPr>
      </w:pPr>
      <w:r>
        <w:rPr>
          <w:rFonts w:hint="eastAsia" w:ascii="Times" w:hAnsi="Times" w:eastAsia="宋体" w:cs="Times New Roman"/>
          <w:b/>
          <w:sz w:val="28"/>
          <w:szCs w:val="28"/>
        </w:rPr>
        <w:t>二、任务来源</w:t>
      </w:r>
    </w:p>
    <w:p w14:paraId="0C963682">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根据2024年8月21日《省市场监管局关于下达2024年度江苏省地方标准制修订计划的通知》（苏市监标〔2024〕143号），江苏省安全生产科学研究院为第244号标准《“厂中厂”安全生产管理规范》的编制承担单位，项目周期12个月。</w:t>
      </w:r>
    </w:p>
    <w:p w14:paraId="79B5CAFA">
      <w:pPr>
        <w:numPr>
          <w:ilvl w:val="255"/>
          <w:numId w:val="0"/>
        </w:numPr>
        <w:adjustRightInd/>
        <w:snapToGrid/>
        <w:spacing w:line="360" w:lineRule="auto"/>
        <w:jc w:val="left"/>
        <w:outlineLvl w:val="0"/>
        <w:rPr>
          <w:rFonts w:hint="eastAsia" w:ascii="Times" w:hAnsi="Times" w:eastAsia="宋体" w:cs="Times New Roman"/>
          <w:b/>
          <w:sz w:val="28"/>
          <w:szCs w:val="28"/>
        </w:rPr>
      </w:pPr>
      <w:r>
        <w:rPr>
          <w:rFonts w:hint="eastAsia" w:ascii="Times" w:hAnsi="Times" w:eastAsia="宋体" w:cs="Times New Roman"/>
          <w:b/>
          <w:sz w:val="28"/>
          <w:szCs w:val="28"/>
        </w:rPr>
        <w:t>三、编制过程</w:t>
      </w:r>
    </w:p>
    <w:p w14:paraId="4E38CA09">
      <w:pPr>
        <w:adjustRightInd/>
        <w:snapToGrid/>
        <w:spacing w:line="360" w:lineRule="auto"/>
        <w:ind w:firstLine="480" w:firstLineChars="200"/>
        <w:outlineLvl w:val="1"/>
        <w:rPr>
          <w:rFonts w:hint="eastAsia" w:ascii="Times" w:hAnsi="Times" w:eastAsia="宋体" w:cs="Times New Roman"/>
          <w:sz w:val="24"/>
        </w:rPr>
      </w:pPr>
      <w:r>
        <w:rPr>
          <w:rFonts w:hint="eastAsia" w:ascii="Times" w:hAnsi="Times" w:eastAsia="宋体" w:cs="Times New Roman"/>
          <w:sz w:val="24"/>
        </w:rPr>
        <w:t>1、成立编制组</w:t>
      </w:r>
    </w:p>
    <w:p w14:paraId="73ABA6CA">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2023年10月至12月，省安科院调研标准制定的必要性和可行性，并结合江苏省的政策、法规及行业发展需求，论证标准对经济、社会、安全的促进作用。</w:t>
      </w:r>
    </w:p>
    <w:p w14:paraId="1B2A8653">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2024年1月至2月，成立了标准编制组，召开第一次会议，会议初定了编制的方向、原则、大纲等，2024年2月完成标准草稿，提交《“厂中厂”安全生产管理规范》的立项申请。</w:t>
      </w:r>
    </w:p>
    <w:p w14:paraId="496FEA34">
      <w:pPr>
        <w:adjustRightInd/>
        <w:snapToGrid/>
        <w:spacing w:line="360" w:lineRule="auto"/>
        <w:ind w:firstLine="480" w:firstLineChars="200"/>
        <w:outlineLvl w:val="1"/>
        <w:rPr>
          <w:rFonts w:hint="eastAsia" w:ascii="Times" w:hAnsi="Times" w:eastAsia="宋体" w:cs="宋体"/>
          <w:sz w:val="24"/>
        </w:rPr>
      </w:pPr>
      <w:r>
        <w:rPr>
          <w:rFonts w:hint="eastAsia" w:ascii="Times" w:hAnsi="Times" w:eastAsia="宋体" w:cs="宋体"/>
          <w:sz w:val="24"/>
        </w:rPr>
        <w:t>2、</w:t>
      </w:r>
      <w:r>
        <w:rPr>
          <w:rFonts w:ascii="Times" w:hAnsi="Times" w:eastAsia="宋体" w:cs="宋体"/>
          <w:sz w:val="24"/>
        </w:rPr>
        <w:t>下达立项计划</w:t>
      </w:r>
    </w:p>
    <w:p w14:paraId="6578B4BD">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2024年8月，江苏省标准化管理委员会下达标准制修订计划。次月，标准编制组召开了工作启动会，确定了任务分工，并按照要求制定了工作计划。</w:t>
      </w:r>
    </w:p>
    <w:p w14:paraId="62BAAD6B">
      <w:pPr>
        <w:adjustRightInd/>
        <w:snapToGrid/>
        <w:spacing w:line="360" w:lineRule="auto"/>
        <w:ind w:firstLine="480" w:firstLineChars="200"/>
        <w:outlineLvl w:val="1"/>
        <w:rPr>
          <w:rFonts w:hint="eastAsia" w:ascii="Times" w:hAnsi="Times" w:eastAsia="宋体" w:cs="宋体"/>
          <w:sz w:val="24"/>
        </w:rPr>
      </w:pPr>
      <w:r>
        <w:rPr>
          <w:rFonts w:hint="eastAsia" w:ascii="Times" w:hAnsi="Times" w:eastAsia="宋体" w:cs="宋体"/>
          <w:sz w:val="24"/>
        </w:rPr>
        <w:t>3、收集资料及调研</w:t>
      </w:r>
    </w:p>
    <w:p w14:paraId="2E9BDE41">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2024年9月至12月，编制组系统收集、整理、分析安全生产相关法律法规、标准规范，安全生产管理体系建设相关标准，以及全国各地及省内关于“厂中厂”企业安全生产管理相关制度文件、典型经验做法等各类资料。</w:t>
      </w:r>
    </w:p>
    <w:p w14:paraId="2CAA2B2C">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同时，编制组成员深入无锡市、南京市等地企业一线开展了“厂中厂”企业现状调研和明察暗访工作，基本摸清我省</w:t>
      </w:r>
      <w:r>
        <w:rPr>
          <w:rFonts w:hint="eastAsia" w:ascii="Times" w:hAnsi="Times" w:eastAsia="宋体" w:cs="宋体"/>
          <w:sz w:val="24"/>
          <w:lang w:eastAsia="zh-CN"/>
        </w:rPr>
        <w:t>“</w:t>
      </w:r>
      <w:r>
        <w:rPr>
          <w:rFonts w:hint="eastAsia" w:ascii="Times" w:hAnsi="Times" w:eastAsia="宋体" w:cs="宋体"/>
          <w:sz w:val="24"/>
        </w:rPr>
        <w:t>厂中厂</w:t>
      </w:r>
      <w:r>
        <w:rPr>
          <w:rFonts w:hint="eastAsia" w:ascii="Times" w:hAnsi="Times" w:eastAsia="宋体" w:cs="宋体"/>
          <w:sz w:val="24"/>
          <w:lang w:eastAsia="zh-CN"/>
        </w:rPr>
        <w:t>”</w:t>
      </w:r>
      <w:r>
        <w:rPr>
          <w:rFonts w:hint="eastAsia" w:ascii="Times" w:hAnsi="Times" w:eastAsia="宋体" w:cs="宋体"/>
          <w:sz w:val="24"/>
        </w:rPr>
        <w:t>的基础设施设备安全、消防通道占用、电气线路隐患等核心问题，为标准编制工作提供翔实的案例支撑。</w:t>
      </w:r>
    </w:p>
    <w:p w14:paraId="1746FC5F">
      <w:pPr>
        <w:adjustRightInd/>
        <w:snapToGrid/>
        <w:spacing w:line="360" w:lineRule="auto"/>
        <w:ind w:firstLine="480" w:firstLineChars="200"/>
        <w:outlineLvl w:val="1"/>
        <w:rPr>
          <w:rFonts w:hint="eastAsia" w:ascii="Times" w:hAnsi="Times" w:eastAsia="宋体" w:cs="宋体"/>
          <w:sz w:val="24"/>
        </w:rPr>
      </w:pPr>
      <w:r>
        <w:rPr>
          <w:rFonts w:hint="eastAsia" w:ascii="Times" w:hAnsi="Times" w:eastAsia="宋体" w:cs="宋体"/>
          <w:sz w:val="24"/>
        </w:rPr>
        <w:t>4、确定结构框架</w:t>
      </w:r>
    </w:p>
    <w:p w14:paraId="194C83A2">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2024年11月至12月，编制组比较分析国内“厂中厂”企业安全生产管理现状，剖析典型企业安全生产管理体系建设实例，统计相关企业安全生产事故经验教训，与省厅相关业务处室沟通讨论，确定了本标准的主要结构框架、要素内容和功能特征，并基于现行法律法规、标准规范，对标准适用范围和相关名词术语进行界定。</w:t>
      </w:r>
    </w:p>
    <w:p w14:paraId="27629D65">
      <w:pPr>
        <w:adjustRightInd/>
        <w:snapToGrid/>
        <w:spacing w:line="360" w:lineRule="auto"/>
        <w:ind w:firstLine="480" w:firstLineChars="200"/>
        <w:outlineLvl w:val="1"/>
        <w:rPr>
          <w:rFonts w:hint="eastAsia" w:ascii="Times" w:hAnsi="Times" w:eastAsia="宋体" w:cs="宋体"/>
          <w:sz w:val="24"/>
        </w:rPr>
      </w:pPr>
      <w:r>
        <w:rPr>
          <w:rFonts w:hint="eastAsia" w:ascii="Times" w:hAnsi="Times" w:eastAsia="宋体" w:cs="宋体"/>
          <w:sz w:val="24"/>
        </w:rPr>
        <w:t>5、初稿起草</w:t>
      </w:r>
    </w:p>
    <w:p w14:paraId="0D3CE05F">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2024年12月至2025年2月，编制组成员按照各自分工，开展了各章节的编写工作，其间组织召开3次内部研讨会，逐条研讨并修改标准草稿。</w:t>
      </w:r>
    </w:p>
    <w:p w14:paraId="73784439">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2025年2月25日，编制组向标准主管部门江苏省应急管理厅基础处汇报了标准编写情况，并与处室领导进行了交流研讨。会后，编制组根据研讨意见进行了逐条分析并进一步完善标准草稿。</w:t>
      </w:r>
    </w:p>
    <w:p w14:paraId="67DE22E2">
      <w:pPr>
        <w:adjustRightInd/>
        <w:snapToGrid/>
        <w:spacing w:line="360" w:lineRule="auto"/>
        <w:ind w:firstLine="480" w:firstLineChars="200"/>
        <w:rPr>
          <w:rFonts w:hint="eastAsia" w:ascii="Times" w:hAnsi="Times" w:eastAsia="宋体" w:cs="宋体"/>
          <w:sz w:val="24"/>
        </w:rPr>
      </w:pPr>
      <w:r>
        <w:rPr>
          <w:rFonts w:hint="eastAsia" w:ascii="Times" w:hAnsi="Times" w:eastAsia="宋体" w:cs="宋体"/>
          <w:sz w:val="24"/>
        </w:rPr>
        <w:t>2025年3月7日，省应急管理厅在常熟市应急局召开了标准专题座谈会，应急管理部门负责人、重点企业代表及行业专家围绕标准条款内容、落地实施及协同治理等方面展开研讨，各方从不同角度出发，分享经验、交流看法，为标准的进一步完善和有效实施建言献策。会后，编制组汇总整理了各方意见建议，多次召开研讨会逐条分析、修改、完善，形成标准初稿。</w:t>
      </w:r>
    </w:p>
    <w:p w14:paraId="29C024B1">
      <w:pPr>
        <w:adjustRightInd/>
        <w:snapToGrid/>
        <w:spacing w:line="360" w:lineRule="auto"/>
        <w:ind w:firstLine="480" w:firstLineChars="200"/>
        <w:outlineLvl w:val="1"/>
        <w:rPr>
          <w:rFonts w:hint="eastAsia" w:ascii="Times" w:hAnsi="Times" w:eastAsia="宋体" w:cs="宋体"/>
          <w:sz w:val="24"/>
          <w:lang w:val="en-US" w:eastAsia="zh-CN"/>
        </w:rPr>
      </w:pPr>
      <w:r>
        <w:rPr>
          <w:rFonts w:hint="eastAsia" w:ascii="Times" w:hAnsi="Times" w:eastAsia="宋体" w:cs="宋体"/>
          <w:sz w:val="24"/>
          <w:lang w:val="en-US" w:eastAsia="zh-CN"/>
        </w:rPr>
        <w:t>6、初审与修订</w:t>
      </w:r>
    </w:p>
    <w:p w14:paraId="2231F98D">
      <w:pPr>
        <w:adjustRightInd/>
        <w:snapToGrid/>
        <w:spacing w:line="360" w:lineRule="auto"/>
        <w:ind w:firstLine="480" w:firstLineChars="200"/>
        <w:rPr>
          <w:rFonts w:hint="eastAsia" w:ascii="Times" w:hAnsi="Times" w:eastAsia="宋体" w:cs="宋体"/>
          <w:sz w:val="24"/>
          <w:lang w:val="en-US" w:eastAsia="zh-CN"/>
        </w:rPr>
      </w:pPr>
      <w:r>
        <w:rPr>
          <w:rFonts w:hint="eastAsia" w:ascii="Times" w:hAnsi="Times" w:eastAsia="宋体" w:cs="宋体"/>
          <w:sz w:val="24"/>
          <w:lang w:val="en-US" w:eastAsia="zh-CN"/>
        </w:rPr>
        <w:t>2025年4月2日，省应急管理厅与标准编制组共同组织召开了标准初审会。本次会议特邀了5位业内知名专家，他们对标准进行了全面细致的审查，就标准内容、技术要求及实施可行性进行了研讨，逐条针对标准初审稿条款进行质询，并提出了</w:t>
      </w:r>
      <w:bookmarkStart w:id="0" w:name="_GoBack"/>
      <w:bookmarkEnd w:id="0"/>
      <w:r>
        <w:rPr>
          <w:rFonts w:hint="eastAsia" w:ascii="Times" w:hAnsi="Times" w:eastAsia="宋体" w:cs="宋体"/>
          <w:sz w:val="24"/>
          <w:lang w:val="en-US" w:eastAsia="zh-CN"/>
        </w:rPr>
        <w:t>优化建议。</w:t>
      </w:r>
    </w:p>
    <w:p w14:paraId="12906127">
      <w:pPr>
        <w:adjustRightInd/>
        <w:snapToGrid/>
        <w:spacing w:line="360" w:lineRule="auto"/>
        <w:ind w:firstLine="480" w:firstLineChars="200"/>
        <w:rPr>
          <w:rFonts w:hint="default" w:ascii="Times" w:hAnsi="Times" w:eastAsia="宋体" w:cs="宋体"/>
          <w:sz w:val="24"/>
          <w:lang w:val="en-US" w:eastAsia="zh-CN"/>
        </w:rPr>
      </w:pPr>
      <w:r>
        <w:rPr>
          <w:rFonts w:hint="eastAsia" w:ascii="Times" w:hAnsi="Times" w:eastAsia="宋体" w:cs="宋体"/>
          <w:sz w:val="24"/>
          <w:lang w:val="en-US" w:eastAsia="zh-CN"/>
        </w:rPr>
        <w:t>会后，编制组对专家意见高度重视，逐条分析探讨并部分吸收采纳</w:t>
      </w:r>
      <w:r>
        <w:rPr>
          <w:rFonts w:hint="eastAsia" w:ascii="Times" w:hAnsi="Times" w:cs="宋体"/>
          <w:sz w:val="24"/>
          <w:lang w:eastAsia="zh-CN"/>
        </w:rPr>
        <w:t>，</w:t>
      </w:r>
      <w:r>
        <w:rPr>
          <w:rFonts w:hint="eastAsia" w:ascii="Times" w:hAnsi="Times" w:eastAsia="宋体" w:cs="宋体"/>
          <w:sz w:val="24"/>
          <w:lang w:val="en-US" w:eastAsia="zh-CN"/>
        </w:rPr>
        <w:t>进一步理清了标准内容与相关部门规章制度的关系，提升了标准条款语言严谨性，对内容进行了优化精简和重点突出，形成了征求意见稿。</w:t>
      </w:r>
    </w:p>
    <w:p w14:paraId="4FED32C2">
      <w:pPr>
        <w:numPr>
          <w:ilvl w:val="255"/>
          <w:numId w:val="0"/>
        </w:numPr>
        <w:adjustRightInd/>
        <w:snapToGrid/>
        <w:spacing w:line="360" w:lineRule="auto"/>
        <w:jc w:val="left"/>
        <w:outlineLvl w:val="0"/>
        <w:rPr>
          <w:rFonts w:hint="eastAsia" w:ascii="Times" w:hAnsi="Times" w:eastAsia="宋体" w:cs="Times New Roman"/>
          <w:b/>
          <w:sz w:val="28"/>
          <w:szCs w:val="28"/>
        </w:rPr>
      </w:pPr>
      <w:r>
        <w:rPr>
          <w:rFonts w:hint="eastAsia" w:ascii="Times" w:hAnsi="Times" w:eastAsia="宋体" w:cs="Times New Roman"/>
          <w:b/>
          <w:sz w:val="28"/>
          <w:szCs w:val="28"/>
        </w:rPr>
        <w:t>四、主要内容及技术指标确立</w:t>
      </w:r>
    </w:p>
    <w:p w14:paraId="59C12394">
      <w:pPr>
        <w:adjustRightInd/>
        <w:snapToGrid/>
        <w:spacing w:line="360" w:lineRule="auto"/>
        <w:ind w:firstLine="480" w:firstLineChars="200"/>
        <w:rPr>
          <w:rFonts w:hint="eastAsia" w:ascii="Times" w:hAnsi="Times" w:eastAsia="宋体" w:cs="Times New Roman"/>
          <w:sz w:val="24"/>
        </w:rPr>
      </w:pPr>
      <w:r>
        <w:rPr>
          <w:rFonts w:hint="eastAsia" w:ascii="Times" w:hAnsi="Times" w:eastAsia="宋体" w:cs="Times New Roman"/>
          <w:sz w:val="24"/>
        </w:rPr>
        <w:t>编制单位结合对“厂中厂”企业现状调研、国家和省市相关法律法规、标准规范材料的细致梳理，并通过实地调研、专家研讨和文件查阅等方式，确定了标准的主要内容和相关的技术指标。</w:t>
      </w:r>
    </w:p>
    <w:p w14:paraId="617EBC35">
      <w:pPr>
        <w:adjustRightInd/>
        <w:snapToGrid/>
        <w:spacing w:line="360" w:lineRule="auto"/>
        <w:ind w:firstLine="482" w:firstLineChars="200"/>
        <w:outlineLvl w:val="1"/>
        <w:rPr>
          <w:rFonts w:hint="eastAsia" w:ascii="Times" w:hAnsi="Times" w:eastAsia="宋体" w:cs="Times New Roman"/>
          <w:b/>
          <w:bCs/>
          <w:sz w:val="24"/>
          <w:shd w:val="clear" w:color="auto" w:fill="FFFFFF"/>
        </w:rPr>
      </w:pPr>
      <w:r>
        <w:rPr>
          <w:rFonts w:hint="eastAsia" w:ascii="Times" w:hAnsi="Times" w:eastAsia="宋体" w:cs="Times New Roman"/>
          <w:b/>
          <w:bCs/>
          <w:sz w:val="24"/>
          <w:shd w:val="clear" w:color="auto" w:fill="FFFFFF"/>
        </w:rPr>
        <w:t>1、主要内容</w:t>
      </w:r>
    </w:p>
    <w:p w14:paraId="5607161E">
      <w:pPr>
        <w:adjustRightInd/>
        <w:snapToGrid/>
        <w:spacing w:line="360" w:lineRule="auto"/>
        <w:ind w:firstLine="482" w:firstLineChars="200"/>
        <w:rPr>
          <w:rFonts w:hint="eastAsia" w:ascii="Times" w:hAnsi="Times" w:eastAsia="宋体" w:cs="Times New Roman"/>
          <w:sz w:val="24"/>
          <w:shd w:val="clear" w:color="auto" w:fill="FFFFFF"/>
        </w:rPr>
      </w:pPr>
      <w:r>
        <w:rPr>
          <w:rFonts w:hint="eastAsia" w:ascii="Times" w:hAnsi="Times" w:eastAsia="宋体" w:cs="Times New Roman"/>
          <w:b/>
          <w:sz w:val="24"/>
          <w:shd w:val="clear" w:color="auto" w:fill="FFFFFF"/>
        </w:rPr>
        <w:t>（1）第一章</w:t>
      </w:r>
      <w:r>
        <w:rPr>
          <w:rFonts w:hint="eastAsia" w:ascii="Times" w:hAnsi="Times" w:eastAsia="宋体" w:cs="Times New Roman"/>
          <w:sz w:val="24"/>
          <w:shd w:val="clear" w:color="auto" w:fill="FFFFFF"/>
        </w:rPr>
        <w:t>规定了标准的</w:t>
      </w:r>
      <w:r>
        <w:rPr>
          <w:rFonts w:hint="eastAsia" w:ascii="Times" w:hAnsi="Times" w:eastAsia="宋体" w:cs="Times New Roman"/>
          <w:sz w:val="24"/>
        </w:rPr>
        <w:t>适用范围</w:t>
      </w:r>
      <w:r>
        <w:rPr>
          <w:rFonts w:hint="eastAsia" w:ascii="Times" w:hAnsi="Times" w:eastAsia="宋体" w:cs="Times New Roman"/>
          <w:sz w:val="24"/>
          <w:shd w:val="clear" w:color="auto" w:fill="FFFFFF"/>
        </w:rPr>
        <w:t>。</w:t>
      </w:r>
    </w:p>
    <w:p w14:paraId="68E86712">
      <w:pPr>
        <w:adjustRightInd/>
        <w:snapToGrid/>
        <w:spacing w:line="360" w:lineRule="auto"/>
        <w:ind w:firstLine="480" w:firstLineChars="200"/>
        <w:rPr>
          <w:rFonts w:hint="eastAsia" w:ascii="Times" w:hAnsi="Times" w:eastAsia="宋体" w:cs="Times New Roman"/>
          <w:sz w:val="24"/>
          <w:shd w:val="clear" w:color="auto" w:fill="FFFFFF"/>
        </w:rPr>
      </w:pPr>
      <w:r>
        <w:rPr>
          <w:rFonts w:hint="eastAsia" w:ascii="Times" w:hAnsi="Times" w:eastAsia="宋体" w:cs="Times New Roman"/>
          <w:sz w:val="24"/>
          <w:shd w:val="clear" w:color="auto" w:fill="FFFFFF"/>
        </w:rPr>
        <w:t>本文件规定了“厂中厂”的总体要求、火灾防范、电气安全、安全风险管控和隐患排查治理、应急救援等要求。</w:t>
      </w:r>
    </w:p>
    <w:p w14:paraId="1EE49D14">
      <w:pPr>
        <w:adjustRightInd/>
        <w:snapToGrid/>
        <w:spacing w:line="360" w:lineRule="auto"/>
        <w:ind w:firstLine="480" w:firstLineChars="200"/>
        <w:rPr>
          <w:rFonts w:hint="eastAsia" w:ascii="Times" w:hAnsi="Times" w:eastAsia="宋体" w:cs="Times New Roman"/>
          <w:sz w:val="24"/>
          <w:shd w:val="clear" w:color="auto" w:fill="FFFFFF"/>
        </w:rPr>
      </w:pPr>
      <w:r>
        <w:rPr>
          <w:rFonts w:hint="eastAsia" w:ascii="Times" w:hAnsi="Times" w:eastAsia="宋体" w:cs="Times New Roman"/>
          <w:sz w:val="24"/>
          <w:shd w:val="clear" w:color="auto" w:fill="FFFFFF"/>
        </w:rPr>
        <w:t>本文件适用于单幢厂房分割、分层、分生产线租赁的“厂中厂”安全生产管理。</w:t>
      </w:r>
    </w:p>
    <w:p w14:paraId="08D4EFCC">
      <w:pPr>
        <w:adjustRightInd/>
        <w:snapToGrid/>
        <w:spacing w:line="360" w:lineRule="auto"/>
        <w:ind w:firstLine="482" w:firstLineChars="200"/>
        <w:rPr>
          <w:rFonts w:hint="eastAsia" w:ascii="Times" w:hAnsi="Times" w:eastAsia="宋体" w:cs="Times New Roman"/>
          <w:sz w:val="24"/>
          <w:shd w:val="clear" w:color="auto" w:fill="FFFFFF"/>
        </w:rPr>
      </w:pPr>
      <w:r>
        <w:rPr>
          <w:rFonts w:hint="eastAsia" w:ascii="Times" w:hAnsi="Times" w:eastAsia="宋体" w:cs="Times New Roman"/>
          <w:b/>
          <w:sz w:val="24"/>
          <w:shd w:val="clear" w:color="auto" w:fill="FFFFFF"/>
        </w:rPr>
        <w:t>（2）第二章</w:t>
      </w:r>
      <w:r>
        <w:rPr>
          <w:rFonts w:hint="eastAsia" w:ascii="Times" w:hAnsi="Times" w:eastAsia="宋体" w:cs="Times New Roman"/>
          <w:b w:val="0"/>
          <w:bCs/>
          <w:sz w:val="24"/>
          <w:shd w:val="clear" w:color="auto" w:fill="FFFFFF"/>
          <w:lang w:val="en-US" w:eastAsia="zh-CN"/>
        </w:rPr>
        <w:t>本</w:t>
      </w:r>
      <w:r>
        <w:rPr>
          <w:rFonts w:hint="eastAsia" w:ascii="Times" w:hAnsi="Times" w:eastAsia="宋体" w:cs="Times New Roman"/>
          <w:sz w:val="24"/>
        </w:rPr>
        <w:t>文件没有规范性引用文件。</w:t>
      </w:r>
    </w:p>
    <w:p w14:paraId="2CD9B260">
      <w:pPr>
        <w:adjustRightInd/>
        <w:snapToGrid/>
        <w:spacing w:line="360" w:lineRule="auto"/>
        <w:ind w:firstLine="480"/>
        <w:rPr>
          <w:rFonts w:hint="eastAsia" w:ascii="Times" w:hAnsi="Times" w:eastAsia="宋体" w:cs="Times New Roman"/>
          <w:sz w:val="24"/>
          <w:shd w:val="clear" w:color="auto" w:fill="FFFFFF"/>
        </w:rPr>
      </w:pPr>
      <w:r>
        <w:rPr>
          <w:rFonts w:hint="eastAsia" w:ascii="Times" w:hAnsi="Times" w:eastAsia="宋体" w:cs="Times New Roman"/>
          <w:b/>
          <w:sz w:val="24"/>
          <w:shd w:val="clear" w:color="auto" w:fill="FFFFFF"/>
        </w:rPr>
        <w:t>（3）第三章</w:t>
      </w:r>
      <w:r>
        <w:rPr>
          <w:rFonts w:hint="eastAsia" w:ascii="Times" w:hAnsi="Times" w:eastAsia="宋体" w:cs="Times New Roman"/>
          <w:sz w:val="24"/>
          <w:shd w:val="clear" w:color="auto" w:fill="FFFFFF"/>
        </w:rPr>
        <w:t>对本标准中出现的重要术语给出了准确的定义。根据GB/T 1.1—20</w:t>
      </w:r>
      <w:r>
        <w:rPr>
          <w:rFonts w:ascii="Times" w:hAnsi="Times" w:eastAsia="宋体" w:cs="Times New Roman"/>
          <w:sz w:val="24"/>
          <w:shd w:val="clear" w:color="auto" w:fill="FFFFFF"/>
        </w:rPr>
        <w:t>20</w:t>
      </w:r>
      <w:r>
        <w:rPr>
          <w:rFonts w:hint="eastAsia" w:ascii="Times" w:hAnsi="Times" w:eastAsia="宋体" w:cs="Times New Roman"/>
          <w:sz w:val="24"/>
          <w:shd w:val="clear" w:color="auto" w:fill="FFFFFF"/>
        </w:rPr>
        <w:t>对“术语和定义”起草和表述的要求，给出了</w:t>
      </w:r>
      <w:r>
        <w:rPr>
          <w:rFonts w:hint="eastAsia" w:ascii="Times" w:hAnsi="Times" w:eastAsia="宋体" w:cs="Times New Roman"/>
          <w:b/>
          <w:sz w:val="24"/>
          <w:shd w:val="clear" w:color="auto" w:fill="FFFFFF"/>
        </w:rPr>
        <w:t>“厂中厂”、出租方和承租方</w:t>
      </w:r>
      <w:r>
        <w:rPr>
          <w:rFonts w:hint="eastAsia" w:ascii="Times" w:hAnsi="Times" w:eastAsia="宋体" w:cs="Times New Roman"/>
          <w:sz w:val="24"/>
          <w:shd w:val="clear" w:color="auto" w:fill="FFFFFF"/>
        </w:rPr>
        <w:t>3项术语的定义和英文对应词。</w:t>
      </w:r>
    </w:p>
    <w:p w14:paraId="3B297937">
      <w:pPr>
        <w:adjustRightInd/>
        <w:snapToGrid/>
        <w:spacing w:line="360" w:lineRule="auto"/>
        <w:ind w:firstLine="480"/>
        <w:rPr>
          <w:rFonts w:hint="eastAsia" w:ascii="Times" w:hAnsi="Times" w:eastAsia="宋体" w:cs="Times New Roman"/>
          <w:sz w:val="24"/>
        </w:rPr>
      </w:pPr>
      <w:r>
        <w:rPr>
          <w:rFonts w:hint="eastAsia" w:ascii="Times" w:hAnsi="Times" w:eastAsia="宋体" w:cs="Times New Roman"/>
          <w:b/>
          <w:sz w:val="24"/>
          <w:shd w:val="clear" w:color="auto" w:fill="FFFFFF"/>
        </w:rPr>
        <w:t>（4）第四章</w:t>
      </w:r>
      <w:r>
        <w:rPr>
          <w:rFonts w:hint="eastAsia" w:ascii="Times" w:hAnsi="Times" w:eastAsia="宋体" w:cs="Times New Roman"/>
          <w:sz w:val="24"/>
          <w:shd w:val="clear" w:color="auto" w:fill="FFFFFF"/>
        </w:rPr>
        <w:t>提出了“厂中厂”安全生产</w:t>
      </w:r>
      <w:r>
        <w:rPr>
          <w:rFonts w:hint="eastAsia" w:ascii="Times" w:hAnsi="Times" w:eastAsia="宋体" w:cs="Times New Roman"/>
          <w:sz w:val="24"/>
          <w:shd w:val="clear" w:color="auto" w:fill="FFFFFF"/>
          <w:lang w:val="en-US" w:eastAsia="zh-CN"/>
        </w:rPr>
        <w:t>总体</w:t>
      </w:r>
      <w:r>
        <w:rPr>
          <w:rFonts w:hint="eastAsia" w:ascii="Times" w:hAnsi="Times" w:eastAsia="宋体" w:cs="Times New Roman"/>
          <w:sz w:val="24"/>
          <w:shd w:val="clear" w:color="auto" w:fill="FFFFFF"/>
        </w:rPr>
        <w:t>要求</w:t>
      </w:r>
      <w:r>
        <w:rPr>
          <w:rFonts w:hint="eastAsia" w:ascii="Times" w:hAnsi="Times" w:eastAsia="宋体" w:cs="Times New Roman"/>
          <w:sz w:val="24"/>
        </w:rPr>
        <w:t>，对出租和承租的基本原则和条件做了规定</w:t>
      </w:r>
      <w:r>
        <w:rPr>
          <w:rFonts w:hint="eastAsia" w:ascii="Times" w:hAnsi="Times" w:eastAsia="宋体" w:cs="Times New Roman"/>
          <w:sz w:val="24"/>
          <w:lang w:eastAsia="zh-CN"/>
        </w:rPr>
        <w:t>，</w:t>
      </w:r>
      <w:r>
        <w:rPr>
          <w:rFonts w:hint="eastAsia" w:ascii="Times" w:hAnsi="Times" w:eastAsia="宋体" w:cs="Times New Roman"/>
          <w:sz w:val="24"/>
        </w:rPr>
        <w:t>对出租方做好安全管理工作提出了具体要求。</w:t>
      </w:r>
    </w:p>
    <w:p w14:paraId="411C069A">
      <w:pPr>
        <w:adjustRightInd/>
        <w:snapToGrid/>
        <w:spacing w:line="360" w:lineRule="auto"/>
        <w:ind w:firstLine="482" w:firstLineChars="200"/>
        <w:rPr>
          <w:rFonts w:hint="eastAsia" w:ascii="Times" w:hAnsi="Times" w:eastAsia="宋体" w:cs="Times New Roman"/>
          <w:sz w:val="24"/>
        </w:rPr>
      </w:pPr>
      <w:r>
        <w:rPr>
          <w:rFonts w:hint="eastAsia" w:ascii="Times" w:hAnsi="Times" w:eastAsia="宋体" w:cs="Times New Roman"/>
          <w:b/>
          <w:sz w:val="24"/>
        </w:rPr>
        <w:t>（</w:t>
      </w:r>
      <w:r>
        <w:rPr>
          <w:rFonts w:hint="eastAsia" w:ascii="Times" w:hAnsi="Times" w:eastAsia="宋体" w:cs="Times New Roman"/>
          <w:b/>
          <w:sz w:val="24"/>
          <w:lang w:val="en-US" w:eastAsia="zh-CN"/>
        </w:rPr>
        <w:t>5</w:t>
      </w:r>
      <w:r>
        <w:rPr>
          <w:rFonts w:hint="eastAsia" w:ascii="Times" w:hAnsi="Times" w:eastAsia="宋体" w:cs="Times New Roman"/>
          <w:b/>
          <w:sz w:val="24"/>
        </w:rPr>
        <w:t>）第</w:t>
      </w:r>
      <w:r>
        <w:rPr>
          <w:rFonts w:hint="eastAsia" w:ascii="Times" w:hAnsi="Times" w:eastAsia="宋体" w:cs="Times New Roman"/>
          <w:b/>
          <w:sz w:val="24"/>
          <w:lang w:val="en-US" w:eastAsia="zh-CN"/>
        </w:rPr>
        <w:t>五</w:t>
      </w:r>
      <w:r>
        <w:rPr>
          <w:rFonts w:hint="eastAsia" w:ascii="Times" w:hAnsi="Times" w:eastAsia="宋体" w:cs="Times New Roman"/>
          <w:b/>
          <w:sz w:val="24"/>
        </w:rPr>
        <w:t>章</w:t>
      </w:r>
      <w:r>
        <w:rPr>
          <w:rFonts w:hint="eastAsia" w:ascii="Times" w:hAnsi="Times" w:eastAsia="宋体" w:cs="Times New Roman"/>
          <w:bCs/>
          <w:sz w:val="24"/>
        </w:rPr>
        <w:t>对“厂中厂”的平面布局、内部装修、逃生疏散、消防设施等方面做了具体规定</w:t>
      </w:r>
      <w:r>
        <w:rPr>
          <w:rFonts w:hint="eastAsia" w:ascii="Times" w:hAnsi="Times" w:eastAsia="宋体" w:cs="Times New Roman"/>
          <w:sz w:val="24"/>
        </w:rPr>
        <w:t>。</w:t>
      </w:r>
    </w:p>
    <w:p w14:paraId="6B3610B1">
      <w:pPr>
        <w:adjustRightInd/>
        <w:snapToGrid/>
        <w:spacing w:line="360" w:lineRule="auto"/>
        <w:ind w:firstLine="482" w:firstLineChars="200"/>
        <w:rPr>
          <w:rFonts w:hint="eastAsia" w:ascii="Times" w:hAnsi="Times" w:eastAsia="宋体" w:cs="Times New Roman"/>
          <w:sz w:val="24"/>
        </w:rPr>
      </w:pPr>
      <w:r>
        <w:rPr>
          <w:rFonts w:hint="eastAsia" w:ascii="Times" w:hAnsi="Times" w:eastAsia="宋体" w:cs="Times New Roman"/>
          <w:b/>
          <w:bCs/>
          <w:sz w:val="24"/>
        </w:rPr>
        <w:t>（</w:t>
      </w:r>
      <w:r>
        <w:rPr>
          <w:rFonts w:hint="eastAsia" w:ascii="Times" w:hAnsi="Times" w:eastAsia="宋体" w:cs="Times New Roman"/>
          <w:b/>
          <w:bCs/>
          <w:sz w:val="24"/>
          <w:lang w:val="en-US" w:eastAsia="zh-CN"/>
        </w:rPr>
        <w:t>6</w:t>
      </w:r>
      <w:r>
        <w:rPr>
          <w:rFonts w:hint="eastAsia" w:ascii="Times" w:hAnsi="Times" w:eastAsia="宋体" w:cs="Times New Roman"/>
          <w:b/>
          <w:bCs/>
          <w:sz w:val="24"/>
        </w:rPr>
        <w:t>）第</w:t>
      </w:r>
      <w:r>
        <w:rPr>
          <w:rFonts w:hint="eastAsia" w:ascii="Times" w:hAnsi="Times" w:eastAsia="宋体" w:cs="Times New Roman"/>
          <w:b/>
          <w:bCs/>
          <w:sz w:val="24"/>
          <w:lang w:val="en-US" w:eastAsia="zh-CN"/>
        </w:rPr>
        <w:t>六</w:t>
      </w:r>
      <w:r>
        <w:rPr>
          <w:rFonts w:hint="eastAsia" w:ascii="Times" w:hAnsi="Times" w:eastAsia="宋体" w:cs="Times New Roman"/>
          <w:b/>
          <w:bCs/>
          <w:sz w:val="24"/>
        </w:rPr>
        <w:t>章</w:t>
      </w:r>
      <w:r>
        <w:rPr>
          <w:rFonts w:hint="eastAsia" w:ascii="Times" w:hAnsi="Times" w:eastAsia="宋体" w:cs="Times New Roman"/>
          <w:sz w:val="24"/>
        </w:rPr>
        <w:t>对“厂中厂”电气线路敷设、电气设备</w:t>
      </w:r>
      <w:r>
        <w:rPr>
          <w:rFonts w:hint="eastAsia" w:ascii="Times" w:hAnsi="Times" w:eastAsia="宋体" w:cs="Times New Roman"/>
          <w:sz w:val="24"/>
          <w:lang w:val="en-US" w:eastAsia="zh-CN"/>
        </w:rPr>
        <w:t>防护</w:t>
      </w:r>
      <w:r>
        <w:rPr>
          <w:rFonts w:hint="eastAsia" w:ascii="Times" w:hAnsi="Times" w:eastAsia="宋体" w:cs="Times New Roman"/>
          <w:sz w:val="24"/>
        </w:rPr>
        <w:t>、电动车辆充电等方面做了具体规定。</w:t>
      </w:r>
    </w:p>
    <w:p w14:paraId="1E833043">
      <w:pPr>
        <w:adjustRightInd/>
        <w:snapToGrid/>
        <w:spacing w:line="360" w:lineRule="auto"/>
        <w:ind w:firstLine="482" w:firstLineChars="200"/>
        <w:rPr>
          <w:rFonts w:hint="eastAsia" w:ascii="Times" w:hAnsi="Times" w:eastAsia="宋体" w:cs="Times New Roman"/>
          <w:sz w:val="24"/>
        </w:rPr>
      </w:pPr>
      <w:r>
        <w:rPr>
          <w:rFonts w:hint="eastAsia" w:ascii="Times" w:hAnsi="Times" w:eastAsia="宋体" w:cs="Times New Roman"/>
          <w:b/>
          <w:bCs/>
          <w:sz w:val="24"/>
        </w:rPr>
        <w:t>（</w:t>
      </w:r>
      <w:r>
        <w:rPr>
          <w:rFonts w:hint="eastAsia" w:ascii="Times" w:hAnsi="Times" w:eastAsia="宋体" w:cs="Times New Roman"/>
          <w:b/>
          <w:bCs/>
          <w:sz w:val="24"/>
          <w:lang w:val="en-US" w:eastAsia="zh-CN"/>
        </w:rPr>
        <w:t>7</w:t>
      </w:r>
      <w:r>
        <w:rPr>
          <w:rFonts w:hint="eastAsia" w:ascii="Times" w:hAnsi="Times" w:eastAsia="宋体" w:cs="Times New Roman"/>
          <w:b/>
          <w:bCs/>
          <w:sz w:val="24"/>
        </w:rPr>
        <w:t>）第</w:t>
      </w:r>
      <w:r>
        <w:rPr>
          <w:rFonts w:hint="eastAsia" w:ascii="Times" w:hAnsi="Times" w:eastAsia="宋体" w:cs="Times New Roman"/>
          <w:b/>
          <w:bCs/>
          <w:sz w:val="24"/>
          <w:lang w:val="en-US" w:eastAsia="zh-CN"/>
        </w:rPr>
        <w:t>七</w:t>
      </w:r>
      <w:r>
        <w:rPr>
          <w:rFonts w:hint="eastAsia" w:ascii="Times" w:hAnsi="Times" w:eastAsia="宋体" w:cs="Times New Roman"/>
          <w:b/>
          <w:bCs/>
          <w:sz w:val="24"/>
        </w:rPr>
        <w:t>章</w:t>
      </w:r>
      <w:r>
        <w:rPr>
          <w:rFonts w:hint="eastAsia" w:ascii="Times" w:hAnsi="Times" w:eastAsia="宋体" w:cs="Times New Roman"/>
          <w:sz w:val="24"/>
        </w:rPr>
        <w:t>对“厂中厂”安全风险分级管控与隐患排查治理机制作出具体规定，明确了出租方和承租方在风险辨识、风险告知、巡查检查和落实整改等方面的具体要求。</w:t>
      </w:r>
    </w:p>
    <w:p w14:paraId="29DF2DF8">
      <w:pPr>
        <w:adjustRightInd/>
        <w:snapToGrid/>
        <w:spacing w:line="360" w:lineRule="auto"/>
        <w:ind w:firstLine="482" w:firstLineChars="200"/>
        <w:rPr>
          <w:rFonts w:hint="eastAsia" w:ascii="Times" w:hAnsi="Times" w:eastAsia="宋体" w:cs="Times New Roman"/>
          <w:sz w:val="24"/>
        </w:rPr>
      </w:pPr>
      <w:r>
        <w:rPr>
          <w:rFonts w:hint="eastAsia" w:ascii="Times" w:hAnsi="Times" w:eastAsia="宋体" w:cs="Times New Roman"/>
          <w:b/>
          <w:bCs/>
          <w:sz w:val="24"/>
        </w:rPr>
        <w:t>（</w:t>
      </w:r>
      <w:r>
        <w:rPr>
          <w:rFonts w:hint="eastAsia" w:ascii="Times" w:hAnsi="Times" w:eastAsia="宋体" w:cs="Times New Roman"/>
          <w:b/>
          <w:bCs/>
          <w:sz w:val="24"/>
          <w:lang w:val="en-US" w:eastAsia="zh-CN"/>
        </w:rPr>
        <w:t>8</w:t>
      </w:r>
      <w:r>
        <w:rPr>
          <w:rFonts w:hint="eastAsia" w:ascii="Times" w:hAnsi="Times" w:eastAsia="宋体" w:cs="Times New Roman"/>
          <w:b/>
          <w:bCs/>
          <w:sz w:val="24"/>
        </w:rPr>
        <w:t>）第</w:t>
      </w:r>
      <w:r>
        <w:rPr>
          <w:rFonts w:hint="eastAsia" w:ascii="Times" w:hAnsi="Times" w:eastAsia="宋体" w:cs="Times New Roman"/>
          <w:b/>
          <w:bCs/>
          <w:sz w:val="24"/>
          <w:lang w:val="en-US" w:eastAsia="zh-CN"/>
        </w:rPr>
        <w:t>八</w:t>
      </w:r>
      <w:r>
        <w:rPr>
          <w:rFonts w:hint="eastAsia" w:ascii="Times" w:hAnsi="Times" w:eastAsia="宋体" w:cs="Times New Roman"/>
          <w:b/>
          <w:bCs/>
          <w:sz w:val="24"/>
        </w:rPr>
        <w:t>章</w:t>
      </w:r>
      <w:r>
        <w:rPr>
          <w:rFonts w:hint="eastAsia" w:ascii="Times" w:hAnsi="Times" w:eastAsia="宋体" w:cs="Times New Roman"/>
          <w:sz w:val="24"/>
        </w:rPr>
        <w:t>对“厂中厂”应急预案、应急演练、应急救援和应急物资配备方面做出了具体规定。</w:t>
      </w:r>
    </w:p>
    <w:p w14:paraId="71F33C56">
      <w:pPr>
        <w:adjustRightInd/>
        <w:snapToGrid/>
        <w:spacing w:line="360" w:lineRule="auto"/>
        <w:ind w:firstLine="482" w:firstLineChars="200"/>
        <w:outlineLvl w:val="1"/>
        <w:rPr>
          <w:rFonts w:hint="eastAsia" w:ascii="Times" w:hAnsi="Times" w:eastAsia="宋体" w:cs="Times New Roman"/>
          <w:b/>
          <w:bCs/>
          <w:sz w:val="24"/>
          <w:shd w:val="clear" w:color="auto" w:fill="FFFFFF"/>
        </w:rPr>
      </w:pPr>
      <w:r>
        <w:rPr>
          <w:rFonts w:hint="eastAsia" w:ascii="Times" w:hAnsi="Times" w:eastAsia="宋体" w:cs="Times New Roman"/>
          <w:b/>
          <w:bCs/>
          <w:sz w:val="24"/>
          <w:shd w:val="clear" w:color="auto" w:fill="FFFFFF"/>
        </w:rPr>
        <w:t>2、主要技术指标确立</w:t>
      </w:r>
    </w:p>
    <w:p w14:paraId="6AE3222A">
      <w:pPr>
        <w:adjustRightInd/>
        <w:snapToGrid/>
        <w:spacing w:line="360" w:lineRule="auto"/>
        <w:ind w:firstLine="480"/>
        <w:outlineLvl w:val="2"/>
        <w:rPr>
          <w:rFonts w:hint="eastAsia" w:ascii="Times" w:hAnsi="Times" w:eastAsia="宋体" w:cs="Times New Roman"/>
          <w:b/>
          <w:bCs/>
          <w:sz w:val="24"/>
        </w:rPr>
      </w:pPr>
      <w:r>
        <w:rPr>
          <w:rFonts w:hint="eastAsia" w:ascii="Times" w:hAnsi="Times" w:eastAsia="宋体" w:cs="Times New Roman"/>
          <w:b/>
          <w:bCs/>
          <w:sz w:val="24"/>
        </w:rPr>
        <w:t>（1）</w:t>
      </w:r>
      <w:r>
        <w:rPr>
          <w:rFonts w:hint="eastAsia" w:ascii="Times" w:hAnsi="Times" w:eastAsia="宋体" w:cs="Times New Roman"/>
          <w:b/>
          <w:bCs/>
          <w:sz w:val="24"/>
          <w:lang w:val="en-US" w:eastAsia="zh-CN"/>
        </w:rPr>
        <w:t>总体</w:t>
      </w:r>
      <w:r>
        <w:rPr>
          <w:rFonts w:hint="eastAsia" w:ascii="Times" w:hAnsi="Times" w:eastAsia="宋体" w:cs="Times New Roman"/>
          <w:b/>
          <w:bCs/>
          <w:sz w:val="24"/>
        </w:rPr>
        <w:t>要求</w:t>
      </w:r>
    </w:p>
    <w:p w14:paraId="4BBD68E8">
      <w:pPr>
        <w:adjustRightInd/>
        <w:snapToGrid/>
        <w:spacing w:line="360" w:lineRule="auto"/>
        <w:ind w:firstLine="480"/>
        <w:rPr>
          <w:rFonts w:hint="eastAsia" w:ascii="Times" w:hAnsi="Times" w:eastAsia="宋体" w:cs="Times New Roman"/>
          <w:sz w:val="24"/>
        </w:rPr>
      </w:pPr>
      <w:r>
        <w:rPr>
          <w:rFonts w:hint="eastAsia" w:ascii="Times" w:hAnsi="Times" w:eastAsia="宋体" w:cs="Times New Roman"/>
          <w:sz w:val="24"/>
        </w:rPr>
        <w:t>部分“厂中厂”因早期招商引资政策宽松，存在违规改造、超负荷使用等问题。例如，老旧厂房被分割出租给多个小微企业，改为人员密集的加工车间，厂房的设计、布局和功能通常基于特定生产需求（如工业生产、仓储等）进行消防审验，承租方擅自改变可能破坏原有安全条件，可能导致疏散通道不足、消防设施失效等问题。</w:t>
      </w:r>
    </w:p>
    <w:p w14:paraId="47D7FB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w:hAnsi="Times" w:eastAsia="宋体" w:cs="Times New Roman"/>
          <w:sz w:val="24"/>
        </w:rPr>
      </w:pPr>
      <w:r>
        <w:rPr>
          <w:rFonts w:hint="eastAsia" w:ascii="Times" w:hAnsi="Times" w:eastAsia="宋体" w:cs="Times New Roman"/>
          <w:sz w:val="24"/>
        </w:rPr>
        <w:t>根据《江苏省“厂中厂”安全生产专项整治工作方案》（苏安〔2024〕5号）的要求，明确提出要规范出租方行为、加强承租企业管理和突出重大风险管控。各地积极响应省安委办的工作要求，出台了《南京市“厂中厂”安全生产专项治理行动方案》《淮安市“厂中厂”安全生产专项整治行动工作方案》等。通用要求中的内容主要是根据各地出台的相关通知、方案及典型经验做法总结提炼。</w:t>
      </w:r>
    </w:p>
    <w:p w14:paraId="20FC3E32">
      <w:pPr>
        <w:adjustRightInd/>
        <w:snapToGrid/>
        <w:spacing w:line="360" w:lineRule="auto"/>
        <w:ind w:firstLine="480"/>
        <w:rPr>
          <w:rFonts w:hint="eastAsia" w:ascii="Times" w:hAnsi="Times" w:eastAsia="宋体" w:cs="Times New Roman"/>
          <w:sz w:val="24"/>
        </w:rPr>
      </w:pPr>
      <w:r>
        <w:rPr>
          <w:rFonts w:hint="eastAsia" w:ascii="Times" w:hAnsi="Times" w:eastAsia="宋体" w:cs="Times New Roman"/>
          <w:sz w:val="24"/>
        </w:rPr>
        <w:t>在“厂中厂”场景下，出租方与承租方作为独立主体，若职责不清，易导致“责任真空”或互相推诿，增加事故风险。根据《中华人民共和国安全生产法》第四十九条“生产经营项目、场所发包或者出租给其他单位的，生产经营单位应当与承包单位、承租单位签订专门的安全生产管理协议。”第四十八条“两个以上生产经营单位在同一作业区域内进行生产经营活动，可能危及对方生产安全的，应当签订安全生产管理协议”，因此本标准对出租方与承租方签订安全生产协议、</w:t>
      </w:r>
      <w:r>
        <w:rPr>
          <w:rFonts w:hint="eastAsia" w:ascii="Times" w:hAnsi="Times" w:eastAsia="宋体" w:cs="Times New Roman"/>
          <w:sz w:val="24"/>
          <w:lang w:val="en-US" w:eastAsia="zh-CN"/>
        </w:rPr>
        <w:t>建立</w:t>
      </w:r>
      <w:r>
        <w:rPr>
          <w:rFonts w:hint="eastAsia" w:ascii="Times" w:hAnsi="Times" w:eastAsia="宋体" w:cs="Times New Roman"/>
          <w:sz w:val="24"/>
        </w:rPr>
        <w:t>安全生产协调机构等安全职责提出了相关要求。</w:t>
      </w:r>
    </w:p>
    <w:p w14:paraId="09C49416">
      <w:pPr>
        <w:adjustRightInd/>
        <w:snapToGrid/>
        <w:spacing w:line="360" w:lineRule="auto"/>
        <w:ind w:firstLine="482" w:firstLineChars="200"/>
        <w:outlineLvl w:val="2"/>
        <w:rPr>
          <w:rFonts w:hint="eastAsia" w:ascii="Times" w:hAnsi="Times" w:eastAsia="宋体" w:cs="Times New Roman"/>
          <w:b/>
          <w:bCs/>
          <w:sz w:val="24"/>
          <w:lang w:val="en-US" w:eastAsia="zh-CN"/>
        </w:rPr>
      </w:pPr>
      <w:r>
        <w:rPr>
          <w:rFonts w:hint="eastAsia" w:ascii="Times" w:hAnsi="Times" w:eastAsia="宋体" w:cs="Times New Roman"/>
          <w:b/>
          <w:bCs/>
          <w:sz w:val="24"/>
        </w:rPr>
        <w:t>（</w:t>
      </w:r>
      <w:r>
        <w:rPr>
          <w:rFonts w:hint="eastAsia" w:ascii="Times" w:hAnsi="Times" w:eastAsia="宋体" w:cs="Times New Roman"/>
          <w:b/>
          <w:bCs/>
          <w:sz w:val="24"/>
          <w:lang w:val="en-US" w:eastAsia="zh-CN"/>
        </w:rPr>
        <w:t>2</w:t>
      </w:r>
      <w:r>
        <w:rPr>
          <w:rFonts w:hint="eastAsia" w:ascii="Times" w:hAnsi="Times" w:eastAsia="宋体" w:cs="Times New Roman"/>
          <w:b/>
          <w:bCs/>
          <w:sz w:val="24"/>
        </w:rPr>
        <w:t>）</w:t>
      </w:r>
      <w:r>
        <w:rPr>
          <w:rFonts w:hint="eastAsia" w:ascii="Times" w:hAnsi="Times" w:eastAsia="宋体" w:cs="Times New Roman"/>
          <w:b/>
          <w:bCs/>
          <w:sz w:val="24"/>
          <w:lang w:val="en-US" w:eastAsia="zh-CN"/>
        </w:rPr>
        <w:t>火灾防范</w:t>
      </w:r>
    </w:p>
    <w:p w14:paraId="16B1F648">
      <w:pPr>
        <w:adjustRightInd/>
        <w:snapToGrid/>
        <w:spacing w:line="360" w:lineRule="auto"/>
        <w:ind w:firstLine="480"/>
        <w:rPr>
          <w:rFonts w:hint="eastAsia" w:ascii="Times" w:hAnsi="Times" w:eastAsia="宋体" w:cs="Times New Roman"/>
          <w:sz w:val="24"/>
        </w:rPr>
      </w:pPr>
      <w:r>
        <w:rPr>
          <w:rFonts w:hint="eastAsia" w:ascii="Times" w:hAnsi="Times" w:eastAsia="宋体" w:cs="Times New Roman"/>
          <w:sz w:val="24"/>
        </w:rPr>
        <w:t>调研发现某塑业有限公司因车间疏散通道未保持畅通被处罚，暴露出“厂中厂”普遍存在的货物堆积、设备占用通道等问题。此类行为直接违反《中华人民共和国安全生产法》关于“生命通道”畅通的相关规定。另外，有的企业因通道标识缺失、内部道路曲折，极有可能导致火灾时人员无法快速疏散，造成人员伤亡。结合</w:t>
      </w:r>
      <w:r>
        <w:rPr>
          <w:rFonts w:ascii="Times" w:hAnsi="Times" w:eastAsia="宋体" w:cs="Times New Roman"/>
          <w:sz w:val="24"/>
        </w:rPr>
        <w:t>《建筑防火通用规范》（GB 55037-2022）</w:t>
      </w:r>
      <w:r>
        <w:rPr>
          <w:rFonts w:hint="eastAsia" w:ascii="Times" w:hAnsi="Times" w:eastAsia="宋体" w:cs="Times New Roman"/>
          <w:sz w:val="24"/>
        </w:rPr>
        <w:t>《中华人民共和国消防法》，为降低火灾等突发事件中的人员伤亡风险，本标准对生命通道提出了要求。</w:t>
      </w:r>
    </w:p>
    <w:p w14:paraId="5571D7EC">
      <w:pPr>
        <w:adjustRightInd/>
        <w:snapToGrid/>
        <w:spacing w:line="360" w:lineRule="auto"/>
        <w:ind w:firstLine="480"/>
        <w:rPr>
          <w:rFonts w:hint="eastAsia" w:ascii="Times" w:hAnsi="Times" w:eastAsia="宋体" w:cs="Times New Roman"/>
          <w:sz w:val="24"/>
        </w:rPr>
      </w:pPr>
      <w:r>
        <w:rPr>
          <w:rFonts w:hint="eastAsia" w:ascii="Times" w:hAnsi="Times" w:eastAsia="宋体" w:cs="Times New Roman"/>
          <w:sz w:val="24"/>
        </w:rPr>
        <w:t>国内多起火灾事故因“三合一”</w:t>
      </w:r>
      <w:r>
        <w:rPr>
          <w:rFonts w:hint="eastAsia" w:ascii="Times" w:hAnsi="Times" w:eastAsia="宋体" w:cs="Times New Roman"/>
          <w:sz w:val="24"/>
          <w:lang w:val="en-US" w:eastAsia="zh-CN"/>
        </w:rPr>
        <w:t>的情形</w:t>
      </w:r>
      <w:r>
        <w:rPr>
          <w:rFonts w:hint="eastAsia" w:ascii="Times" w:hAnsi="Times" w:eastAsia="宋体" w:cs="Times New Roman"/>
          <w:sz w:val="24"/>
        </w:rPr>
        <w:t>导致伤亡扩大</w:t>
      </w:r>
      <w:r>
        <w:rPr>
          <w:rFonts w:hint="eastAsia" w:ascii="Times" w:hAnsi="Times" w:eastAsia="宋体" w:cs="Times New Roman"/>
          <w:sz w:val="24"/>
          <w:lang w:eastAsia="zh-CN"/>
        </w:rPr>
        <w:t>，</w:t>
      </w:r>
      <w:r>
        <w:rPr>
          <w:rFonts w:hint="eastAsia" w:ascii="Times" w:hAnsi="Times" w:eastAsia="宋体" w:cs="Times New Roman"/>
          <w:sz w:val="24"/>
        </w:rPr>
        <w:t>生活区与生产区混杂</w:t>
      </w:r>
      <w:r>
        <w:rPr>
          <w:rFonts w:hint="eastAsia" w:ascii="Times" w:hAnsi="Times" w:eastAsia="宋体" w:cs="Times New Roman"/>
          <w:sz w:val="24"/>
          <w:lang w:val="en-US" w:eastAsia="zh-CN"/>
        </w:rPr>
        <w:t>极大</w:t>
      </w:r>
      <w:r>
        <w:rPr>
          <w:rFonts w:hint="eastAsia" w:ascii="Times" w:hAnsi="Times" w:eastAsia="宋体" w:cs="Times New Roman"/>
          <w:sz w:val="24"/>
        </w:rPr>
        <w:t>增加火灾风险，特别是在夜间</w:t>
      </w:r>
      <w:r>
        <w:rPr>
          <w:rFonts w:hint="eastAsia" w:ascii="Times" w:hAnsi="Times" w:eastAsia="宋体" w:cs="Times New Roman"/>
          <w:sz w:val="24"/>
          <w:lang w:eastAsia="zh-CN"/>
        </w:rPr>
        <w:t>，</w:t>
      </w:r>
      <w:r>
        <w:rPr>
          <w:rFonts w:hint="eastAsia" w:ascii="Times" w:hAnsi="Times" w:eastAsia="宋体" w:cs="Times New Roman"/>
          <w:sz w:val="24"/>
        </w:rPr>
        <w:t>人员逃生比较困难</w:t>
      </w:r>
      <w:r>
        <w:rPr>
          <w:rFonts w:hint="eastAsia" w:ascii="Times" w:hAnsi="Times" w:eastAsia="宋体" w:cs="Times New Roman"/>
          <w:sz w:val="24"/>
          <w:lang w:eastAsia="zh-CN"/>
        </w:rPr>
        <w:t>。</w:t>
      </w:r>
      <w:r>
        <w:rPr>
          <w:rFonts w:hint="eastAsia" w:ascii="Times" w:hAnsi="Times" w:eastAsia="宋体" w:cs="Times New Roman"/>
          <w:sz w:val="24"/>
        </w:rPr>
        <w:t>《中华人民共和国安全生产法》第四十二条对</w:t>
      </w:r>
      <w:r>
        <w:rPr>
          <w:rFonts w:hint="eastAsia" w:ascii="Times" w:hAnsi="Times" w:eastAsia="宋体" w:cs="Times New Roman"/>
          <w:sz w:val="24"/>
          <w:lang w:eastAsia="zh-CN"/>
        </w:rPr>
        <w:t>“</w:t>
      </w:r>
      <w:r>
        <w:rPr>
          <w:rFonts w:hint="eastAsia" w:ascii="Times" w:hAnsi="Times" w:eastAsia="宋体" w:cs="Times New Roman"/>
          <w:sz w:val="24"/>
        </w:rPr>
        <w:t>三合一</w:t>
      </w:r>
      <w:r>
        <w:rPr>
          <w:rFonts w:hint="eastAsia" w:ascii="Times" w:hAnsi="Times" w:eastAsia="宋体" w:cs="Times New Roman"/>
          <w:sz w:val="24"/>
          <w:lang w:eastAsia="zh-CN"/>
        </w:rPr>
        <w:t>”</w:t>
      </w:r>
      <w:r>
        <w:rPr>
          <w:rFonts w:hint="eastAsia" w:ascii="Times" w:hAnsi="Times" w:eastAsia="宋体" w:cs="Times New Roman"/>
          <w:sz w:val="24"/>
        </w:rPr>
        <w:t>场所提出要求，因此编制组将宿舍与生产区域进行物理分隔的要求纳入本标准。</w:t>
      </w:r>
    </w:p>
    <w:p w14:paraId="31158A3F">
      <w:pPr>
        <w:adjustRightInd/>
        <w:snapToGrid/>
        <w:spacing w:line="360" w:lineRule="auto"/>
        <w:ind w:firstLine="480"/>
        <w:rPr>
          <w:rFonts w:hint="eastAsia" w:ascii="Times" w:hAnsi="Times" w:eastAsia="宋体" w:cs="Times New Roman"/>
          <w:sz w:val="24"/>
        </w:rPr>
      </w:pPr>
      <w:r>
        <w:rPr>
          <w:rFonts w:hint="eastAsia" w:ascii="Times" w:hAnsi="Times" w:eastAsia="宋体" w:cs="Times New Roman"/>
          <w:sz w:val="24"/>
        </w:rPr>
        <w:t>公共区域消防设施（如防火门、喷淋系统）是火灾防控的核心屏障。出租方统一管理可避免因分租、转租导致的设施维护责任不清，确保设施定期检测、维修，关键时刻发挥作用。本标准提出出租方承担公共消防设施维护责任，避免承租方因成本考虑擅自停用设施（如关闭喷淋系统节省水费），或消防设备设施损坏却无人承担维修的情况。</w:t>
      </w:r>
    </w:p>
    <w:p w14:paraId="2265544D">
      <w:pPr>
        <w:adjustRightInd/>
        <w:snapToGrid/>
        <w:spacing w:line="360" w:lineRule="auto"/>
        <w:ind w:firstLine="482" w:firstLineChars="200"/>
        <w:outlineLvl w:val="2"/>
        <w:rPr>
          <w:rFonts w:hint="eastAsia" w:ascii="Times" w:hAnsi="Times" w:eastAsia="宋体" w:cs="Times New Roman"/>
          <w:b/>
          <w:bCs/>
          <w:sz w:val="24"/>
        </w:rPr>
      </w:pPr>
      <w:r>
        <w:rPr>
          <w:rFonts w:hint="eastAsia" w:ascii="Times" w:hAnsi="Times" w:eastAsia="宋体" w:cs="Times New Roman"/>
          <w:b/>
          <w:bCs/>
          <w:sz w:val="24"/>
        </w:rPr>
        <w:t>（</w:t>
      </w:r>
      <w:r>
        <w:rPr>
          <w:rFonts w:hint="eastAsia" w:ascii="Times" w:hAnsi="Times" w:eastAsia="宋体" w:cs="Times New Roman"/>
          <w:b/>
          <w:bCs/>
          <w:sz w:val="24"/>
          <w:lang w:val="en-US" w:eastAsia="zh-CN"/>
        </w:rPr>
        <w:t>3</w:t>
      </w:r>
      <w:r>
        <w:rPr>
          <w:rFonts w:hint="eastAsia" w:ascii="Times" w:hAnsi="Times" w:eastAsia="宋体" w:cs="Times New Roman"/>
          <w:b/>
          <w:bCs/>
          <w:sz w:val="24"/>
        </w:rPr>
        <w:t>）电气安全</w:t>
      </w:r>
    </w:p>
    <w:p w14:paraId="245FD768">
      <w:pPr>
        <w:adjustRightInd/>
        <w:snapToGrid/>
        <w:spacing w:line="360" w:lineRule="auto"/>
        <w:ind w:firstLine="480"/>
        <w:rPr>
          <w:rFonts w:hint="eastAsia" w:ascii="Times" w:hAnsi="Times" w:eastAsia="宋体" w:cs="Times New Roman"/>
          <w:sz w:val="24"/>
        </w:rPr>
      </w:pPr>
      <w:r>
        <w:rPr>
          <w:rFonts w:hint="eastAsia" w:ascii="Times" w:hAnsi="Times" w:eastAsia="宋体" w:cs="Times New Roman"/>
          <w:sz w:val="24"/>
        </w:rPr>
        <w:t>承租方为扩大生产，私自搭建临时线路，因线路过载发热引发火灾现象屡见不鲜，所以严格规范</w:t>
      </w:r>
      <w:r>
        <w:rPr>
          <w:rFonts w:hint="eastAsia" w:ascii="Times" w:hAnsi="Times" w:eastAsia="宋体" w:cs="Times New Roman"/>
          <w:sz w:val="24"/>
          <w:lang w:eastAsia="zh-CN"/>
        </w:rPr>
        <w:t>“</w:t>
      </w:r>
      <w:r>
        <w:rPr>
          <w:rFonts w:hint="eastAsia" w:ascii="Times" w:hAnsi="Times" w:eastAsia="宋体" w:cs="Times New Roman"/>
          <w:sz w:val="24"/>
        </w:rPr>
        <w:t>厂中厂</w:t>
      </w:r>
      <w:r>
        <w:rPr>
          <w:rFonts w:hint="eastAsia" w:ascii="Times" w:hAnsi="Times" w:eastAsia="宋体" w:cs="Times New Roman"/>
          <w:sz w:val="24"/>
          <w:lang w:eastAsia="zh-CN"/>
        </w:rPr>
        <w:t>”</w:t>
      </w:r>
      <w:r>
        <w:rPr>
          <w:rFonts w:hint="eastAsia" w:ascii="Times" w:hAnsi="Times" w:eastAsia="宋体" w:cs="Times New Roman"/>
          <w:sz w:val="24"/>
        </w:rPr>
        <w:t>企业用电行为，核心目标是降低电气火灾风险，保障人员生命和财产安全。编制组总结了私搭乱接和老化线缆等电气重大安全隐患，对事故教训进行分析，将消除、控制等手段列为标准电气安全条款。</w:t>
      </w:r>
    </w:p>
    <w:p w14:paraId="0BD7648F">
      <w:pPr>
        <w:adjustRightInd/>
        <w:snapToGrid/>
        <w:spacing w:line="360" w:lineRule="auto"/>
        <w:ind w:firstLine="480"/>
        <w:rPr>
          <w:rFonts w:hint="eastAsia" w:ascii="Times" w:hAnsi="Times" w:eastAsia="宋体" w:cs="Times New Roman"/>
          <w:sz w:val="24"/>
        </w:rPr>
      </w:pPr>
      <w:r>
        <w:rPr>
          <w:rFonts w:hint="eastAsia" w:ascii="Times" w:hAnsi="Times" w:eastAsia="宋体" w:cs="Times New Roman"/>
          <w:sz w:val="24"/>
        </w:rPr>
        <w:t>近年来电动自行车火灾事故频发，例如江苏南京“2·23”电动车火灾、安徽安庆“10·9”火灾、辽宁沈阳“9·14”火灾、北京朝阳“12·28”火灾等，电动车辆停放和充电成了新型的常见风险，国务院安委会2022年印发了《加强电动自行车全链条安全监管重点工作任务及分工方案》，明确“加强电动自行车违法违规停放和充电行为的查处”。因此，编制组将电动车辆集中停放和充电，以及充电区域的要求纳入标准条款。</w:t>
      </w:r>
    </w:p>
    <w:p w14:paraId="61398921">
      <w:pPr>
        <w:adjustRightInd/>
        <w:snapToGrid/>
        <w:spacing w:line="360" w:lineRule="auto"/>
        <w:ind w:firstLine="482" w:firstLineChars="200"/>
        <w:outlineLvl w:val="2"/>
        <w:rPr>
          <w:rFonts w:hint="eastAsia" w:ascii="Times" w:hAnsi="Times" w:eastAsia="宋体" w:cs="Times New Roman"/>
          <w:b/>
          <w:bCs/>
          <w:sz w:val="24"/>
        </w:rPr>
      </w:pPr>
      <w:r>
        <w:rPr>
          <w:rFonts w:hint="eastAsia" w:ascii="Times" w:hAnsi="Times" w:eastAsia="宋体" w:cs="Times New Roman"/>
          <w:b/>
          <w:bCs/>
          <w:sz w:val="24"/>
        </w:rPr>
        <w:t>（</w:t>
      </w:r>
      <w:r>
        <w:rPr>
          <w:rFonts w:hint="eastAsia" w:ascii="Times" w:hAnsi="Times" w:eastAsia="宋体" w:cs="Times New Roman"/>
          <w:b/>
          <w:bCs/>
          <w:sz w:val="24"/>
          <w:lang w:val="en-US" w:eastAsia="zh-CN"/>
        </w:rPr>
        <w:t>4</w:t>
      </w:r>
      <w:r>
        <w:rPr>
          <w:rFonts w:hint="eastAsia" w:ascii="Times" w:hAnsi="Times" w:eastAsia="宋体" w:cs="Times New Roman"/>
          <w:b/>
          <w:bCs/>
          <w:sz w:val="24"/>
        </w:rPr>
        <w:t>）安全风险管控和隐患排查治理</w:t>
      </w:r>
    </w:p>
    <w:p w14:paraId="774EA641">
      <w:pPr>
        <w:adjustRightInd/>
        <w:snapToGrid/>
        <w:spacing w:line="360" w:lineRule="auto"/>
        <w:ind w:firstLine="480"/>
        <w:rPr>
          <w:rFonts w:hint="eastAsia" w:ascii="Times" w:hAnsi="Times" w:eastAsia="宋体" w:cs="Times New Roman"/>
          <w:sz w:val="24"/>
        </w:rPr>
      </w:pPr>
      <w:r>
        <w:rPr>
          <w:rFonts w:hint="eastAsia" w:ascii="Times" w:hAnsi="Times" w:eastAsia="宋体" w:cs="Times New Roman"/>
          <w:sz w:val="24"/>
        </w:rPr>
        <w:t>本节内容主要规定了出租和承租双方在风险辨识管控中的责任及巡查检查的相关要求，主要依据《江苏省工业企业安全生产风险报告规定》（江苏省人民政府令2020年第140号）《江苏省生产经营单位安全风险管理条例》的相关规定。</w:t>
      </w:r>
    </w:p>
    <w:p w14:paraId="6847140E">
      <w:pPr>
        <w:adjustRightInd/>
        <w:snapToGrid/>
        <w:spacing w:line="360" w:lineRule="auto"/>
        <w:ind w:firstLine="480"/>
        <w:rPr>
          <w:rFonts w:hint="eastAsia" w:ascii="Times" w:hAnsi="Times" w:eastAsia="宋体" w:cs="Times New Roman"/>
          <w:sz w:val="24"/>
        </w:rPr>
      </w:pPr>
      <w:r>
        <w:rPr>
          <w:rFonts w:hint="eastAsia" w:ascii="Times" w:hAnsi="Times" w:eastAsia="宋体" w:cs="Times New Roman"/>
          <w:sz w:val="24"/>
        </w:rPr>
        <w:t>《中华人民共和国安全生产法》第四十三条“生产经营单位进行爆破、吊装、动火、临时用电以及国务院应急管理部门会同国务院有关部门规定的其他危险作业，应当安排专门人员进行现场安全管理，确保操作规程的遵守和安全措施的落实。”，该条款明确列举了爆破、吊装、动火、临时用电等典型危险作业类型，授权国务院应急管理部门会同其他部门扩展其他危险作业类型，要求企业落实现场安全管理。本标准对危险作业防护、</w:t>
      </w:r>
      <w:r>
        <w:rPr>
          <w:rFonts w:hint="eastAsia" w:ascii="Times" w:hAnsi="Times" w:eastAsia="宋体" w:cs="Times New Roman"/>
          <w:sz w:val="24"/>
          <w:lang w:val="en-US" w:eastAsia="zh-CN"/>
        </w:rPr>
        <w:t>协调管理</w:t>
      </w:r>
      <w:r>
        <w:rPr>
          <w:rFonts w:hint="eastAsia" w:ascii="Times" w:hAnsi="Times" w:eastAsia="宋体" w:cs="Times New Roman"/>
          <w:sz w:val="24"/>
        </w:rPr>
        <w:t>提出了要求。</w:t>
      </w:r>
    </w:p>
    <w:p w14:paraId="7E2373EE">
      <w:pPr>
        <w:adjustRightInd/>
        <w:snapToGrid/>
        <w:spacing w:line="360" w:lineRule="auto"/>
        <w:ind w:firstLine="482" w:firstLineChars="200"/>
        <w:outlineLvl w:val="2"/>
        <w:rPr>
          <w:rFonts w:hint="eastAsia" w:ascii="Times" w:hAnsi="Times" w:eastAsia="宋体" w:cs="Times New Roman"/>
          <w:b/>
          <w:bCs/>
          <w:sz w:val="24"/>
        </w:rPr>
      </w:pPr>
      <w:r>
        <w:rPr>
          <w:rFonts w:hint="eastAsia" w:ascii="Times" w:hAnsi="Times" w:eastAsia="宋体" w:cs="Times New Roman"/>
          <w:b/>
          <w:bCs/>
          <w:sz w:val="24"/>
        </w:rPr>
        <w:t>（</w:t>
      </w:r>
      <w:r>
        <w:rPr>
          <w:rFonts w:hint="eastAsia" w:ascii="Times" w:hAnsi="Times" w:eastAsia="宋体" w:cs="Times New Roman"/>
          <w:b/>
          <w:bCs/>
          <w:sz w:val="24"/>
          <w:lang w:val="en-US" w:eastAsia="zh-CN"/>
        </w:rPr>
        <w:t>5</w:t>
      </w:r>
      <w:r>
        <w:rPr>
          <w:rFonts w:hint="eastAsia" w:ascii="Times" w:hAnsi="Times" w:eastAsia="宋体" w:cs="Times New Roman"/>
          <w:b/>
          <w:bCs/>
          <w:sz w:val="24"/>
        </w:rPr>
        <w:t>）应急管理</w:t>
      </w:r>
    </w:p>
    <w:p w14:paraId="31235C29">
      <w:pPr>
        <w:adjustRightInd/>
        <w:snapToGrid/>
        <w:spacing w:line="360" w:lineRule="auto"/>
        <w:ind w:firstLine="480"/>
        <w:rPr>
          <w:rFonts w:hint="eastAsia" w:ascii="Times" w:hAnsi="Times" w:eastAsia="宋体" w:cs="Times New Roman"/>
          <w:sz w:val="24"/>
        </w:rPr>
      </w:pPr>
      <w:r>
        <w:rPr>
          <w:rFonts w:hint="eastAsia" w:ascii="Times" w:hAnsi="Times" w:eastAsia="宋体" w:cs="Times New Roman"/>
          <w:sz w:val="24"/>
        </w:rPr>
        <w:t>预案编制、联防互救、演练频次的相关要求，目的在于提升协同救援效率。通过联防机制，成员单位可共享消防设施、应急队伍等资源，实现“一企吹哨、多企响应”。联防机制要求出租方牵头制定统一的安全管理制度，承租方通过互查互学机制，可系统性识别跨企业风险。通过资源整合、责任共担、风险联控，系统性提升“厂中厂”企业的应急能力与安全管理水平，从源头减少事故发生的概率和影响范围。本标准依据《生产安全事故应急预案管理办法》《江苏省“厂中厂”安全生产专项整治工作方案》（苏安〔2024〕5号），进行了应急管理相关内容调整。</w:t>
      </w:r>
    </w:p>
    <w:p w14:paraId="34935D8C">
      <w:pPr>
        <w:shd w:val="clear" w:color="FFFFFF" w:fill="FFFFFF"/>
        <w:spacing w:before="156" w:beforeLines="50" w:after="156" w:afterLines="50" w:line="360" w:lineRule="auto"/>
        <w:outlineLvl w:val="0"/>
        <w:rPr>
          <w:rFonts w:hint="eastAsia" w:ascii="黑体" w:hAnsi="黑体" w:eastAsia="黑体" w:cs="Times New Roman"/>
          <w:sz w:val="28"/>
          <w:szCs w:val="28"/>
        </w:rPr>
      </w:pPr>
      <w:r>
        <w:rPr>
          <w:rFonts w:hint="eastAsia" w:ascii="黑体" w:hAnsi="黑体" w:eastAsia="黑体" w:cs="Times New Roman"/>
          <w:sz w:val="28"/>
          <w:szCs w:val="28"/>
        </w:rPr>
        <w:t>五、</w:t>
      </w:r>
      <w:r>
        <w:rPr>
          <w:rFonts w:ascii="黑体" w:hAnsi="黑体" w:eastAsia="黑体" w:cs="Times New Roman"/>
          <w:sz w:val="28"/>
          <w:szCs w:val="28"/>
        </w:rPr>
        <w:t>与现行有关法律、法规和标准的关系</w:t>
      </w:r>
    </w:p>
    <w:p w14:paraId="147896BC">
      <w:pPr>
        <w:autoSpaceDE w:val="0"/>
        <w:autoSpaceDN w:val="0"/>
        <w:spacing w:line="360" w:lineRule="auto"/>
        <w:ind w:firstLine="480" w:firstLineChars="200"/>
        <w:rPr>
          <w:rFonts w:eastAsia="宋体" w:cs="Times New Roman"/>
          <w:sz w:val="21"/>
          <w:szCs w:val="21"/>
        </w:rPr>
      </w:pPr>
      <w:r>
        <w:rPr>
          <w:rFonts w:eastAsia="宋体" w:cs="Times New Roman"/>
          <w:sz w:val="24"/>
        </w:rPr>
        <w:t>本标准与</w:t>
      </w:r>
      <w:r>
        <w:rPr>
          <w:rFonts w:hint="eastAsia" w:eastAsia="宋体" w:cs="Times New Roman"/>
          <w:sz w:val="24"/>
        </w:rPr>
        <w:t>现行有关法律、法规和标准的</w:t>
      </w:r>
      <w:r>
        <w:rPr>
          <w:rFonts w:eastAsia="宋体" w:cs="Times New Roman"/>
          <w:sz w:val="24"/>
        </w:rPr>
        <w:t>关系如下</w:t>
      </w:r>
      <w:r>
        <w:rPr>
          <w:rFonts w:hint="eastAsia" w:eastAsia="宋体" w:cs="Times New Roman"/>
          <w:sz w:val="24"/>
        </w:rPr>
        <w:t>：</w:t>
      </w:r>
    </w:p>
    <w:p w14:paraId="713B59B9">
      <w:pPr>
        <w:autoSpaceDE w:val="0"/>
        <w:autoSpaceDN w:val="0"/>
        <w:spacing w:line="360" w:lineRule="auto"/>
        <w:ind w:firstLine="480" w:firstLineChars="200"/>
        <w:rPr>
          <w:rFonts w:eastAsia="宋体" w:cs="Times New Roman"/>
          <w:sz w:val="24"/>
        </w:rPr>
      </w:pPr>
      <w:r>
        <w:rPr>
          <w:rFonts w:eastAsia="宋体" w:cs="Times New Roman"/>
          <w:sz w:val="24"/>
        </w:rPr>
        <w:t>1</w:t>
      </w:r>
      <w:r>
        <w:rPr>
          <w:rFonts w:hint="eastAsia" w:eastAsia="宋体" w:cs="Times New Roman"/>
          <w:sz w:val="24"/>
        </w:rPr>
        <w:t>、</w:t>
      </w:r>
      <w:r>
        <w:rPr>
          <w:rFonts w:eastAsia="宋体" w:cs="Times New Roman"/>
          <w:sz w:val="24"/>
        </w:rPr>
        <w:t>本标准贯彻执行了国家的有关法律、法规和方针、政策</w:t>
      </w:r>
      <w:r>
        <w:rPr>
          <w:rFonts w:hint="eastAsia" w:eastAsia="宋体" w:cs="Times New Roman"/>
          <w:sz w:val="24"/>
        </w:rPr>
        <w:t>。</w:t>
      </w:r>
    </w:p>
    <w:p w14:paraId="0CEE0D97">
      <w:pPr>
        <w:autoSpaceDE w:val="0"/>
        <w:autoSpaceDN w:val="0"/>
        <w:spacing w:line="360" w:lineRule="auto"/>
        <w:ind w:firstLine="480" w:firstLineChars="200"/>
        <w:rPr>
          <w:rFonts w:eastAsia="宋体" w:cs="Times New Roman"/>
          <w:sz w:val="24"/>
        </w:rPr>
      </w:pPr>
      <w:r>
        <w:rPr>
          <w:rFonts w:eastAsia="宋体" w:cs="Times New Roman"/>
          <w:sz w:val="24"/>
        </w:rPr>
        <w:t>2</w:t>
      </w:r>
      <w:r>
        <w:rPr>
          <w:rFonts w:hint="eastAsia" w:eastAsia="宋体" w:cs="Times New Roman"/>
          <w:sz w:val="24"/>
        </w:rPr>
        <w:t>、</w:t>
      </w:r>
      <w:r>
        <w:rPr>
          <w:rFonts w:eastAsia="宋体" w:cs="Times New Roman"/>
          <w:sz w:val="24"/>
        </w:rPr>
        <w:t>本标准按GB/T 1.1—20</w:t>
      </w:r>
      <w:r>
        <w:rPr>
          <w:rFonts w:hint="eastAsia" w:eastAsia="宋体" w:cs="Times New Roman"/>
          <w:sz w:val="24"/>
        </w:rPr>
        <w:t>20</w:t>
      </w:r>
      <w:r>
        <w:rPr>
          <w:rFonts w:eastAsia="宋体" w:cs="Times New Roman"/>
          <w:sz w:val="24"/>
        </w:rPr>
        <w:t>《标准化工作导则  第1部分：</w:t>
      </w:r>
      <w:r>
        <w:rPr>
          <w:rFonts w:hint="eastAsia" w:eastAsia="宋体" w:cs="Times New Roman"/>
          <w:sz w:val="24"/>
        </w:rPr>
        <w:t>标准化文件的结构和起草规则</w:t>
      </w:r>
      <w:r>
        <w:rPr>
          <w:rFonts w:eastAsia="宋体" w:cs="Times New Roman"/>
          <w:sz w:val="24"/>
        </w:rPr>
        <w:t>》给出的规则编制。</w:t>
      </w:r>
    </w:p>
    <w:p w14:paraId="238C053E">
      <w:pPr>
        <w:autoSpaceDE w:val="0"/>
        <w:autoSpaceDN w:val="0"/>
        <w:spacing w:line="360" w:lineRule="auto"/>
        <w:ind w:firstLine="480" w:firstLineChars="200"/>
        <w:rPr>
          <w:rFonts w:eastAsia="宋体" w:cs="Times New Roman"/>
          <w:sz w:val="24"/>
        </w:rPr>
      </w:pPr>
      <w:r>
        <w:rPr>
          <w:rFonts w:eastAsia="宋体" w:cs="Times New Roman"/>
          <w:sz w:val="24"/>
        </w:rPr>
        <w:t>3</w:t>
      </w:r>
      <w:r>
        <w:rPr>
          <w:rFonts w:hint="eastAsia" w:eastAsia="宋体" w:cs="Times New Roman"/>
          <w:sz w:val="24"/>
        </w:rPr>
        <w:t>、本标准具体条款和所涉及的现行国家标准或行业标准协调一致，或直接引用，或参照原则，无原则分歧。</w:t>
      </w:r>
    </w:p>
    <w:p w14:paraId="4DB1D584">
      <w:pPr>
        <w:shd w:val="clear" w:color="FFFFFF" w:fill="FFFFFF"/>
        <w:spacing w:before="156" w:beforeLines="50" w:after="156" w:afterLines="50" w:line="360" w:lineRule="auto"/>
        <w:outlineLvl w:val="0"/>
        <w:rPr>
          <w:rFonts w:hint="eastAsia" w:ascii="黑体" w:hAnsi="黑体" w:eastAsia="黑体" w:cs="Times New Roman"/>
          <w:sz w:val="28"/>
          <w:szCs w:val="28"/>
        </w:rPr>
      </w:pPr>
      <w:r>
        <w:rPr>
          <w:rFonts w:hint="eastAsia" w:ascii="黑体" w:hAnsi="黑体" w:eastAsia="黑体" w:cs="Times New Roman"/>
          <w:sz w:val="28"/>
          <w:szCs w:val="28"/>
        </w:rPr>
        <w:t>六、</w:t>
      </w:r>
      <w:r>
        <w:rPr>
          <w:rFonts w:ascii="黑体" w:hAnsi="黑体" w:eastAsia="黑体" w:cs="Times New Roman"/>
          <w:sz w:val="28"/>
          <w:szCs w:val="28"/>
        </w:rPr>
        <w:t>重大分歧意见的处理经过和依据</w:t>
      </w:r>
    </w:p>
    <w:p w14:paraId="3A59196C">
      <w:pPr>
        <w:autoSpaceDE w:val="0"/>
        <w:autoSpaceDN w:val="0"/>
        <w:spacing w:line="360" w:lineRule="auto"/>
        <w:ind w:firstLine="480" w:firstLineChars="200"/>
        <w:rPr>
          <w:rFonts w:eastAsia="宋体" w:cs="Times New Roman"/>
          <w:sz w:val="24"/>
        </w:rPr>
      </w:pPr>
      <w:r>
        <w:rPr>
          <w:rFonts w:hint="eastAsia" w:eastAsia="宋体" w:cs="Times New Roman"/>
          <w:sz w:val="24"/>
        </w:rPr>
        <w:t>无。</w:t>
      </w:r>
    </w:p>
    <w:p w14:paraId="0731105E">
      <w:pPr>
        <w:shd w:val="clear" w:color="FFFFFF" w:fill="FFFFFF"/>
        <w:spacing w:before="156" w:beforeLines="50" w:after="156" w:afterLines="50" w:line="360" w:lineRule="auto"/>
        <w:outlineLvl w:val="0"/>
        <w:rPr>
          <w:rFonts w:hint="eastAsia" w:ascii="黑体" w:hAnsi="黑体" w:eastAsia="黑体" w:cs="Times New Roman"/>
          <w:sz w:val="28"/>
          <w:szCs w:val="28"/>
        </w:rPr>
      </w:pPr>
      <w:r>
        <w:rPr>
          <w:rFonts w:hint="eastAsia" w:ascii="黑体" w:hAnsi="黑体" w:eastAsia="黑体" w:cs="Times New Roman"/>
          <w:sz w:val="28"/>
          <w:szCs w:val="28"/>
        </w:rPr>
        <w:t>七、标准实施建议</w:t>
      </w:r>
    </w:p>
    <w:p w14:paraId="004D883F">
      <w:pPr>
        <w:adjustRightInd/>
        <w:snapToGrid/>
        <w:spacing w:line="360" w:lineRule="auto"/>
        <w:ind w:firstLine="480" w:firstLineChars="200"/>
        <w:rPr>
          <w:rFonts w:eastAsia="宋体" w:cs="Times New Roman"/>
          <w:color w:val="000000"/>
          <w:sz w:val="24"/>
          <w:shd w:val="clear" w:color="auto" w:fill="FFFFFF"/>
        </w:rPr>
      </w:pPr>
      <w:r>
        <w:rPr>
          <w:rFonts w:hint="eastAsia" w:eastAsia="宋体" w:cs="Times New Roman"/>
          <w:color w:val="000000"/>
          <w:sz w:val="24"/>
          <w:shd w:val="clear" w:color="auto" w:fill="FFFFFF"/>
        </w:rPr>
        <w:t>本标准对规范全省“厂中厂”企业做好安全管理工作具有积极的指导作用。因此，全省“厂中厂”企业应严格贯彻执行本标准，落实好各项相关条款。为了保证标准的贯彻执行，具体要求有：</w:t>
      </w:r>
    </w:p>
    <w:p w14:paraId="39707ECD">
      <w:pPr>
        <w:spacing w:line="360" w:lineRule="auto"/>
        <w:ind w:firstLine="480"/>
        <w:rPr>
          <w:rFonts w:eastAsia="宋体" w:cs="Times New Roman"/>
          <w:color w:val="000000"/>
          <w:sz w:val="24"/>
          <w:shd w:val="clear" w:color="auto" w:fill="FFFFFF"/>
        </w:rPr>
      </w:pPr>
      <w:r>
        <w:rPr>
          <w:rFonts w:hint="eastAsia" w:eastAsia="宋体" w:cs="Times New Roman"/>
          <w:color w:val="000000"/>
          <w:sz w:val="24"/>
          <w:shd w:val="clear" w:color="auto" w:fill="FFFFFF"/>
        </w:rPr>
        <w:t>1、对标准进行必要的宣传；</w:t>
      </w:r>
    </w:p>
    <w:p w14:paraId="2BBD54DE">
      <w:pPr>
        <w:spacing w:line="360" w:lineRule="auto"/>
        <w:ind w:firstLine="480"/>
        <w:rPr>
          <w:rFonts w:eastAsia="宋体" w:cs="Times New Roman"/>
          <w:color w:val="000000"/>
          <w:sz w:val="24"/>
          <w:shd w:val="clear" w:color="auto" w:fill="FFFFFF"/>
        </w:rPr>
      </w:pPr>
      <w:r>
        <w:rPr>
          <w:rFonts w:hint="eastAsia" w:eastAsia="宋体" w:cs="Times New Roman"/>
          <w:color w:val="000000"/>
          <w:sz w:val="24"/>
          <w:shd w:val="clear" w:color="auto" w:fill="FFFFFF"/>
        </w:rPr>
        <w:t>2、对“厂中厂”企业相关负责人、安全管理人员等进行培训；</w:t>
      </w:r>
    </w:p>
    <w:p w14:paraId="196D9B12">
      <w:pPr>
        <w:spacing w:line="360" w:lineRule="auto"/>
        <w:ind w:firstLine="480"/>
        <w:rPr>
          <w:rFonts w:eastAsia="宋体" w:cs="Times New Roman"/>
          <w:color w:val="000000"/>
          <w:sz w:val="24"/>
          <w:shd w:val="clear" w:color="auto" w:fill="FFFFFF"/>
        </w:rPr>
      </w:pPr>
      <w:r>
        <w:rPr>
          <w:rFonts w:hint="eastAsia" w:eastAsia="宋体" w:cs="Times New Roman"/>
          <w:color w:val="000000"/>
          <w:sz w:val="24"/>
          <w:shd w:val="clear" w:color="auto" w:fill="FFFFFF"/>
        </w:rPr>
        <w:t>3、大力推动企业执行本标准；</w:t>
      </w:r>
    </w:p>
    <w:p w14:paraId="1CE2D3E3">
      <w:pPr>
        <w:spacing w:line="360" w:lineRule="auto"/>
        <w:ind w:firstLine="480"/>
        <w:rPr>
          <w:rFonts w:eastAsia="宋体" w:cs="Times New Roman"/>
          <w:sz w:val="24"/>
        </w:rPr>
      </w:pPr>
      <w:r>
        <w:rPr>
          <w:rFonts w:hint="eastAsia" w:eastAsia="宋体" w:cs="Times New Roman"/>
          <w:color w:val="000000"/>
          <w:sz w:val="24"/>
          <w:shd w:val="clear" w:color="auto" w:fill="FFFFFF"/>
        </w:rPr>
        <w:t>4、</w:t>
      </w:r>
      <w:r>
        <w:rPr>
          <w:rFonts w:hint="eastAsia" w:eastAsia="宋体" w:cs="Times New Roman"/>
          <w:sz w:val="24"/>
        </w:rPr>
        <w:t>及时收集整理各地在标准执行过程中出现的问题，对标准的实施效果进行动态评估。</w:t>
      </w:r>
    </w:p>
    <w:p w14:paraId="44E776D8">
      <w:pPr>
        <w:shd w:val="clear" w:color="FFFFFF" w:fill="FFFFFF"/>
        <w:spacing w:before="156" w:beforeLines="50" w:after="156" w:afterLines="50" w:line="360" w:lineRule="auto"/>
        <w:outlineLvl w:val="0"/>
        <w:rPr>
          <w:rFonts w:hint="eastAsia" w:ascii="黑体" w:hAnsi="黑体" w:eastAsia="黑体" w:cs="Times New Roman"/>
          <w:sz w:val="28"/>
          <w:szCs w:val="28"/>
        </w:rPr>
      </w:pPr>
      <w:r>
        <w:rPr>
          <w:rFonts w:hint="eastAsia" w:ascii="黑体" w:hAnsi="黑体" w:eastAsia="黑体" w:cs="Times New Roman"/>
          <w:sz w:val="28"/>
          <w:szCs w:val="28"/>
        </w:rPr>
        <w:t>八、起草单位和起草人</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56"/>
        <w:gridCol w:w="1117"/>
        <w:gridCol w:w="1421"/>
        <w:gridCol w:w="2828"/>
      </w:tblGrid>
      <w:tr w14:paraId="0183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51" w:type="pct"/>
            <w:shd w:val="clear" w:color="auto" w:fill="auto"/>
            <w:noWrap/>
            <w:vAlign w:val="center"/>
          </w:tcPr>
          <w:p w14:paraId="7EC70BF7">
            <w:pPr>
              <w:widowControl/>
              <w:adjustRightInd/>
              <w:snapToGrid/>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起草单位</w:t>
            </w:r>
          </w:p>
        </w:tc>
        <w:tc>
          <w:tcPr>
            <w:tcW w:w="655" w:type="pct"/>
            <w:shd w:val="clear" w:color="auto" w:fill="auto"/>
            <w:noWrap/>
            <w:vAlign w:val="center"/>
          </w:tcPr>
          <w:p w14:paraId="3522F838">
            <w:pPr>
              <w:widowControl/>
              <w:adjustRightInd/>
              <w:snapToGrid/>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起草人</w:t>
            </w:r>
          </w:p>
        </w:tc>
        <w:tc>
          <w:tcPr>
            <w:tcW w:w="833" w:type="pct"/>
            <w:vAlign w:val="center"/>
          </w:tcPr>
          <w:p w14:paraId="19994EFE">
            <w:pPr>
              <w:widowControl/>
              <w:adjustRightInd/>
              <w:snapToGrid/>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职称/职务</w:t>
            </w:r>
          </w:p>
        </w:tc>
        <w:tc>
          <w:tcPr>
            <w:tcW w:w="1658" w:type="pct"/>
            <w:vAlign w:val="center"/>
          </w:tcPr>
          <w:p w14:paraId="2978272A">
            <w:pPr>
              <w:widowControl/>
              <w:adjustRightInd/>
              <w:snapToGrid/>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分工</w:t>
            </w:r>
          </w:p>
        </w:tc>
      </w:tr>
      <w:tr w14:paraId="5CF47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51" w:type="pct"/>
            <w:shd w:val="clear" w:color="auto" w:fill="auto"/>
            <w:noWrap/>
            <w:vAlign w:val="center"/>
          </w:tcPr>
          <w:p w14:paraId="219F8F0E">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江苏省安全生产科学研究院</w:t>
            </w:r>
          </w:p>
        </w:tc>
        <w:tc>
          <w:tcPr>
            <w:tcW w:w="655" w:type="pct"/>
            <w:shd w:val="clear" w:color="auto" w:fill="auto"/>
            <w:noWrap/>
            <w:vAlign w:val="center"/>
          </w:tcPr>
          <w:p w14:paraId="013FD0A7">
            <w:pPr>
              <w:widowControl/>
              <w:jc w:val="center"/>
              <w:rPr>
                <w:rFonts w:hint="eastAsia" w:ascii="宋体" w:hAnsi="宋体" w:cs="宋体"/>
                <w:color w:val="000000"/>
                <w:kern w:val="0"/>
                <w:szCs w:val="21"/>
              </w:rPr>
            </w:pPr>
            <w:r>
              <w:rPr>
                <w:rFonts w:hint="eastAsia" w:ascii="宋体" w:hAnsi="宋体" w:eastAsia="宋体" w:cs="宋体"/>
                <w:color w:val="000000"/>
                <w:kern w:val="0"/>
                <w:sz w:val="21"/>
                <w:szCs w:val="21"/>
                <w:lang w:bidi="ar"/>
              </w:rPr>
              <w:t>周汝</w:t>
            </w:r>
          </w:p>
        </w:tc>
        <w:tc>
          <w:tcPr>
            <w:tcW w:w="833" w:type="pct"/>
            <w:vAlign w:val="center"/>
          </w:tcPr>
          <w:p w14:paraId="08343701">
            <w:pPr>
              <w:widowControl/>
              <w:jc w:val="center"/>
              <w:rPr>
                <w:rFonts w:hint="eastAsia" w:ascii="宋体" w:hAnsi="宋体" w:cs="宋体"/>
                <w:color w:val="000000"/>
                <w:kern w:val="0"/>
                <w:szCs w:val="21"/>
              </w:rPr>
            </w:pPr>
            <w:r>
              <w:rPr>
                <w:rFonts w:hint="eastAsia" w:ascii="宋体" w:hAnsi="宋体" w:eastAsia="宋体" w:cs="宋体"/>
                <w:color w:val="000000"/>
                <w:kern w:val="0"/>
                <w:sz w:val="21"/>
                <w:szCs w:val="21"/>
                <w:lang w:bidi="ar"/>
              </w:rPr>
              <w:t>教授/院长</w:t>
            </w:r>
          </w:p>
        </w:tc>
        <w:tc>
          <w:tcPr>
            <w:tcW w:w="1658" w:type="pct"/>
            <w:vAlign w:val="center"/>
          </w:tcPr>
          <w:p w14:paraId="562ED028">
            <w:pPr>
              <w:widowControl/>
              <w:jc w:val="center"/>
              <w:rPr>
                <w:rFonts w:hint="eastAsia" w:ascii="宋体" w:hAnsi="宋体" w:cs="宋体"/>
                <w:color w:val="000000"/>
                <w:kern w:val="0"/>
                <w:szCs w:val="21"/>
              </w:rPr>
            </w:pPr>
            <w:r>
              <w:rPr>
                <w:rFonts w:hint="eastAsia" w:ascii="宋体" w:hAnsi="宋体" w:eastAsia="宋体" w:cs="宋体"/>
                <w:color w:val="000000"/>
                <w:kern w:val="0"/>
                <w:sz w:val="21"/>
                <w:szCs w:val="21"/>
                <w:lang w:bidi="ar"/>
              </w:rPr>
              <w:t>顶层设计、组织协调</w:t>
            </w:r>
          </w:p>
        </w:tc>
      </w:tr>
      <w:tr w14:paraId="73937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51" w:type="pct"/>
            <w:shd w:val="clear" w:color="auto" w:fill="auto"/>
            <w:noWrap/>
            <w:vAlign w:val="center"/>
          </w:tcPr>
          <w:p w14:paraId="28ADC6AB">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江苏省安全生产科学研究院</w:t>
            </w:r>
          </w:p>
        </w:tc>
        <w:tc>
          <w:tcPr>
            <w:tcW w:w="655" w:type="pct"/>
            <w:shd w:val="clear" w:color="auto" w:fill="auto"/>
            <w:noWrap/>
            <w:vAlign w:val="center"/>
          </w:tcPr>
          <w:p w14:paraId="2DAB4558">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朱桂明</w:t>
            </w:r>
          </w:p>
        </w:tc>
        <w:tc>
          <w:tcPr>
            <w:tcW w:w="833" w:type="pct"/>
            <w:vAlign w:val="center"/>
          </w:tcPr>
          <w:p w14:paraId="1E9015CA">
            <w:pPr>
              <w:widowControl/>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正高</w:t>
            </w:r>
            <w:r>
              <w:rPr>
                <w:rFonts w:hint="eastAsia" w:ascii="宋体" w:hAnsi="宋体" w:eastAsia="宋体" w:cs="宋体"/>
                <w:color w:val="000000"/>
                <w:kern w:val="0"/>
                <w:sz w:val="21"/>
                <w:szCs w:val="21"/>
                <w:lang w:val="en-US" w:eastAsia="zh-CN" w:bidi="ar"/>
              </w:rPr>
              <w:t>/副院长</w:t>
            </w:r>
          </w:p>
        </w:tc>
        <w:tc>
          <w:tcPr>
            <w:tcW w:w="1658" w:type="pct"/>
            <w:vAlign w:val="center"/>
          </w:tcPr>
          <w:p w14:paraId="18A0B18A">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1范围</w:t>
            </w:r>
          </w:p>
          <w:p w14:paraId="67C7B5BA">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3术语和定义</w:t>
            </w:r>
          </w:p>
          <w:p w14:paraId="0D8DDFF6">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组织协调</w:t>
            </w:r>
          </w:p>
        </w:tc>
      </w:tr>
      <w:tr w14:paraId="32F65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51" w:type="pct"/>
            <w:shd w:val="clear" w:color="auto" w:fill="auto"/>
            <w:noWrap/>
            <w:vAlign w:val="center"/>
          </w:tcPr>
          <w:p w14:paraId="7C0B1CF8">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江苏省安全生产科学研究院</w:t>
            </w:r>
          </w:p>
        </w:tc>
        <w:tc>
          <w:tcPr>
            <w:tcW w:w="655" w:type="pct"/>
            <w:shd w:val="clear" w:color="auto" w:fill="auto"/>
            <w:noWrap/>
            <w:vAlign w:val="center"/>
          </w:tcPr>
          <w:p w14:paraId="516347E9">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刘浩男</w:t>
            </w:r>
          </w:p>
        </w:tc>
        <w:tc>
          <w:tcPr>
            <w:tcW w:w="833" w:type="pct"/>
            <w:vAlign w:val="center"/>
          </w:tcPr>
          <w:p w14:paraId="68CA8C2F">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中级</w:t>
            </w:r>
          </w:p>
        </w:tc>
        <w:tc>
          <w:tcPr>
            <w:tcW w:w="1658" w:type="pct"/>
            <w:vAlign w:val="center"/>
          </w:tcPr>
          <w:p w14:paraId="3D70DF69">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2规范性引用文件</w:t>
            </w:r>
          </w:p>
          <w:p w14:paraId="2E378E0C">
            <w:pPr>
              <w:widowControl/>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5火灾防范</w:t>
            </w:r>
          </w:p>
          <w:p w14:paraId="2451201A">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val="en-US" w:eastAsia="zh-CN" w:bidi="ar"/>
              </w:rPr>
              <w:t>6</w:t>
            </w:r>
            <w:r>
              <w:rPr>
                <w:rFonts w:hint="eastAsia" w:ascii="宋体" w:hAnsi="宋体" w:eastAsia="宋体" w:cs="宋体"/>
                <w:color w:val="000000"/>
                <w:kern w:val="0"/>
                <w:sz w:val="21"/>
                <w:szCs w:val="21"/>
                <w:lang w:bidi="ar"/>
              </w:rPr>
              <w:t>电气安全</w:t>
            </w:r>
          </w:p>
          <w:p w14:paraId="24F19604">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val="en-US" w:eastAsia="zh-CN" w:bidi="ar"/>
              </w:rPr>
              <w:t>8</w:t>
            </w:r>
            <w:r>
              <w:rPr>
                <w:rFonts w:hint="eastAsia" w:ascii="宋体" w:hAnsi="宋体" w:eastAsia="宋体" w:cs="宋体"/>
                <w:color w:val="000000"/>
                <w:kern w:val="0"/>
                <w:sz w:val="21"/>
                <w:szCs w:val="21"/>
                <w:lang w:bidi="ar"/>
              </w:rPr>
              <w:t>应急</w:t>
            </w:r>
            <w:r>
              <w:rPr>
                <w:rFonts w:hint="eastAsia" w:ascii="宋体" w:hAnsi="宋体" w:eastAsia="宋体" w:cs="宋体"/>
                <w:color w:val="000000"/>
                <w:kern w:val="0"/>
                <w:sz w:val="21"/>
                <w:szCs w:val="21"/>
                <w:lang w:val="en-US" w:eastAsia="zh-CN" w:bidi="ar"/>
              </w:rPr>
              <w:t>救援</w:t>
            </w:r>
          </w:p>
          <w:p w14:paraId="574952B2">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编制说明及征求意见汇总</w:t>
            </w:r>
          </w:p>
        </w:tc>
      </w:tr>
      <w:tr w14:paraId="128C4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51" w:type="pct"/>
            <w:shd w:val="clear" w:color="auto" w:fill="auto"/>
            <w:noWrap/>
            <w:vAlign w:val="center"/>
          </w:tcPr>
          <w:p w14:paraId="300AC48F">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江苏省安全生产科学研究院</w:t>
            </w:r>
          </w:p>
        </w:tc>
        <w:tc>
          <w:tcPr>
            <w:tcW w:w="655" w:type="pct"/>
            <w:shd w:val="clear" w:color="auto" w:fill="auto"/>
            <w:noWrap/>
            <w:vAlign w:val="center"/>
          </w:tcPr>
          <w:p w14:paraId="28237DF7">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田冉</w:t>
            </w:r>
          </w:p>
        </w:tc>
        <w:tc>
          <w:tcPr>
            <w:tcW w:w="833" w:type="pct"/>
            <w:vAlign w:val="center"/>
          </w:tcPr>
          <w:p w14:paraId="74A4224D">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初级</w:t>
            </w:r>
          </w:p>
        </w:tc>
        <w:tc>
          <w:tcPr>
            <w:tcW w:w="1658" w:type="pct"/>
            <w:vAlign w:val="center"/>
          </w:tcPr>
          <w:p w14:paraId="57C4DF4E">
            <w:pPr>
              <w:widowControl/>
              <w:jc w:val="center"/>
              <w:rPr>
                <w:rFonts w:hint="default"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4总体要求</w:t>
            </w:r>
          </w:p>
          <w:p w14:paraId="36B78C94">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val="en-US" w:eastAsia="zh-CN" w:bidi="ar"/>
              </w:rPr>
              <w:t>6</w:t>
            </w:r>
            <w:r>
              <w:rPr>
                <w:rFonts w:hint="eastAsia" w:ascii="宋体" w:hAnsi="宋体" w:eastAsia="宋体" w:cs="宋体"/>
                <w:color w:val="000000"/>
                <w:kern w:val="0"/>
                <w:sz w:val="21"/>
                <w:szCs w:val="21"/>
                <w:lang w:bidi="ar"/>
              </w:rPr>
              <w:t>电气安全</w:t>
            </w:r>
          </w:p>
          <w:p w14:paraId="3A98CA0E">
            <w:pPr>
              <w:widowControl/>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8</w:t>
            </w:r>
            <w:r>
              <w:rPr>
                <w:rFonts w:hint="eastAsia" w:ascii="宋体" w:hAnsi="宋体" w:eastAsia="宋体" w:cs="宋体"/>
                <w:color w:val="000000"/>
                <w:kern w:val="0"/>
                <w:sz w:val="21"/>
                <w:szCs w:val="21"/>
                <w:lang w:bidi="ar"/>
              </w:rPr>
              <w:t>应急</w:t>
            </w:r>
            <w:r>
              <w:rPr>
                <w:rFonts w:hint="eastAsia" w:ascii="宋体" w:hAnsi="宋体" w:eastAsia="宋体" w:cs="宋体"/>
                <w:color w:val="000000"/>
                <w:kern w:val="0"/>
                <w:sz w:val="21"/>
                <w:szCs w:val="21"/>
                <w:lang w:val="en-US" w:eastAsia="zh-CN" w:bidi="ar"/>
              </w:rPr>
              <w:t>救援</w:t>
            </w:r>
          </w:p>
        </w:tc>
      </w:tr>
      <w:tr w14:paraId="28A8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51" w:type="pct"/>
            <w:shd w:val="clear" w:color="auto" w:fill="auto"/>
            <w:noWrap/>
            <w:vAlign w:val="center"/>
          </w:tcPr>
          <w:p w14:paraId="2BC2A3DC">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江苏省安全生产科学研究院</w:t>
            </w:r>
          </w:p>
        </w:tc>
        <w:tc>
          <w:tcPr>
            <w:tcW w:w="655" w:type="pct"/>
            <w:shd w:val="clear" w:color="auto" w:fill="auto"/>
            <w:noWrap/>
            <w:vAlign w:val="center"/>
          </w:tcPr>
          <w:p w14:paraId="6514F07B">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邓金</w:t>
            </w:r>
          </w:p>
        </w:tc>
        <w:tc>
          <w:tcPr>
            <w:tcW w:w="833" w:type="pct"/>
            <w:vAlign w:val="center"/>
          </w:tcPr>
          <w:p w14:paraId="6F5A9C69">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中级</w:t>
            </w:r>
          </w:p>
        </w:tc>
        <w:tc>
          <w:tcPr>
            <w:tcW w:w="1658" w:type="pct"/>
            <w:vAlign w:val="center"/>
          </w:tcPr>
          <w:p w14:paraId="108D0C0E">
            <w:pPr>
              <w:widowControl/>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bidi="ar"/>
              </w:rPr>
              <w:t>4</w:t>
            </w:r>
            <w:r>
              <w:rPr>
                <w:rFonts w:hint="eastAsia" w:ascii="宋体" w:hAnsi="宋体" w:eastAsia="宋体" w:cs="宋体"/>
                <w:color w:val="000000"/>
                <w:kern w:val="0"/>
                <w:sz w:val="21"/>
                <w:szCs w:val="21"/>
                <w:lang w:val="en-US" w:eastAsia="zh-CN" w:bidi="ar"/>
              </w:rPr>
              <w:t>总体要求</w:t>
            </w:r>
          </w:p>
          <w:p w14:paraId="6E923DC9">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val="en-US" w:eastAsia="zh-CN" w:bidi="ar"/>
              </w:rPr>
              <w:t>6</w:t>
            </w:r>
            <w:r>
              <w:rPr>
                <w:rFonts w:hint="eastAsia" w:ascii="宋体" w:hAnsi="宋体" w:eastAsia="宋体" w:cs="宋体"/>
                <w:color w:val="000000"/>
                <w:kern w:val="0"/>
                <w:sz w:val="21"/>
                <w:szCs w:val="21"/>
                <w:lang w:bidi="ar"/>
              </w:rPr>
              <w:t>电气安全</w:t>
            </w:r>
          </w:p>
          <w:p w14:paraId="7B593736">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val="en-US" w:eastAsia="zh-CN" w:bidi="ar"/>
              </w:rPr>
              <w:t>7</w:t>
            </w:r>
            <w:r>
              <w:rPr>
                <w:rFonts w:hint="eastAsia" w:ascii="宋体" w:hAnsi="宋体" w:eastAsia="宋体" w:cs="宋体"/>
                <w:color w:val="000000"/>
                <w:kern w:val="0"/>
                <w:sz w:val="21"/>
                <w:szCs w:val="21"/>
                <w:lang w:bidi="ar"/>
              </w:rPr>
              <w:t>安全风险管控和隐患排查治理</w:t>
            </w:r>
          </w:p>
        </w:tc>
      </w:tr>
      <w:tr w14:paraId="28CA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51" w:type="pct"/>
            <w:shd w:val="clear" w:color="auto" w:fill="auto"/>
            <w:noWrap/>
            <w:vAlign w:val="center"/>
          </w:tcPr>
          <w:p w14:paraId="524C2952">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江苏中睿安全科技发展有限公司</w:t>
            </w:r>
          </w:p>
        </w:tc>
        <w:tc>
          <w:tcPr>
            <w:tcW w:w="655" w:type="pct"/>
            <w:shd w:val="clear" w:color="auto" w:fill="auto"/>
            <w:noWrap/>
            <w:vAlign w:val="center"/>
          </w:tcPr>
          <w:p w14:paraId="5E350B40">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马荣胜</w:t>
            </w:r>
          </w:p>
        </w:tc>
        <w:tc>
          <w:tcPr>
            <w:tcW w:w="833" w:type="pct"/>
            <w:shd w:val="clear" w:color="auto" w:fill="auto"/>
            <w:vAlign w:val="center"/>
          </w:tcPr>
          <w:p w14:paraId="677C63F9">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正高</w:t>
            </w:r>
          </w:p>
        </w:tc>
        <w:tc>
          <w:tcPr>
            <w:tcW w:w="1658" w:type="pct"/>
            <w:shd w:val="clear" w:color="auto" w:fill="auto"/>
            <w:vAlign w:val="center"/>
          </w:tcPr>
          <w:p w14:paraId="43FBC562">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咨询指导</w:t>
            </w:r>
          </w:p>
        </w:tc>
      </w:tr>
      <w:tr w14:paraId="7FCA3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51" w:type="pct"/>
            <w:shd w:val="clear" w:color="auto" w:fill="auto"/>
            <w:noWrap/>
            <w:vAlign w:val="center"/>
          </w:tcPr>
          <w:p w14:paraId="53CCC9B0">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江苏省安全生产科学研究院</w:t>
            </w:r>
          </w:p>
        </w:tc>
        <w:tc>
          <w:tcPr>
            <w:tcW w:w="655" w:type="pct"/>
            <w:shd w:val="clear" w:color="auto" w:fill="auto"/>
            <w:noWrap/>
            <w:vAlign w:val="center"/>
          </w:tcPr>
          <w:p w14:paraId="726254E1">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徐朔寒</w:t>
            </w:r>
          </w:p>
        </w:tc>
        <w:tc>
          <w:tcPr>
            <w:tcW w:w="833" w:type="pct"/>
            <w:vAlign w:val="center"/>
          </w:tcPr>
          <w:p w14:paraId="415F23D0">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中级</w:t>
            </w:r>
          </w:p>
        </w:tc>
        <w:tc>
          <w:tcPr>
            <w:tcW w:w="1658" w:type="pct"/>
            <w:vAlign w:val="center"/>
          </w:tcPr>
          <w:p w14:paraId="79EDC7F0">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val="en-US" w:eastAsia="zh-CN" w:bidi="ar"/>
              </w:rPr>
              <w:t>7</w:t>
            </w:r>
            <w:r>
              <w:rPr>
                <w:rFonts w:hint="eastAsia" w:ascii="宋体" w:hAnsi="宋体" w:eastAsia="宋体" w:cs="宋体"/>
                <w:color w:val="000000"/>
                <w:kern w:val="0"/>
                <w:sz w:val="21"/>
                <w:szCs w:val="21"/>
                <w:lang w:bidi="ar"/>
              </w:rPr>
              <w:t>安全风险管控和隐患排查治理</w:t>
            </w:r>
          </w:p>
          <w:p w14:paraId="321C392D">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val="en-US" w:eastAsia="zh-CN" w:bidi="ar"/>
              </w:rPr>
              <w:t>8</w:t>
            </w:r>
            <w:r>
              <w:rPr>
                <w:rFonts w:hint="eastAsia" w:ascii="宋体" w:hAnsi="宋体" w:eastAsia="宋体" w:cs="宋体"/>
                <w:color w:val="000000"/>
                <w:kern w:val="0"/>
                <w:sz w:val="21"/>
                <w:szCs w:val="21"/>
                <w:lang w:bidi="ar"/>
              </w:rPr>
              <w:t>应急</w:t>
            </w:r>
            <w:r>
              <w:rPr>
                <w:rFonts w:hint="eastAsia" w:ascii="宋体" w:hAnsi="宋体" w:eastAsia="宋体" w:cs="宋体"/>
                <w:color w:val="000000"/>
                <w:kern w:val="0"/>
                <w:sz w:val="21"/>
                <w:szCs w:val="21"/>
                <w:lang w:val="en-US" w:eastAsia="zh-CN" w:bidi="ar"/>
              </w:rPr>
              <w:t>救援</w:t>
            </w:r>
          </w:p>
        </w:tc>
      </w:tr>
      <w:tr w14:paraId="1FD74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51" w:type="pct"/>
            <w:shd w:val="clear" w:color="auto" w:fill="auto"/>
            <w:noWrap/>
            <w:vAlign w:val="center"/>
          </w:tcPr>
          <w:p w14:paraId="348C6355">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东南大学成贤学院</w:t>
            </w:r>
          </w:p>
        </w:tc>
        <w:tc>
          <w:tcPr>
            <w:tcW w:w="655" w:type="pct"/>
            <w:shd w:val="clear" w:color="auto" w:fill="auto"/>
            <w:noWrap/>
            <w:vAlign w:val="center"/>
          </w:tcPr>
          <w:p w14:paraId="1C40A5F1">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孙北东</w:t>
            </w:r>
          </w:p>
        </w:tc>
        <w:tc>
          <w:tcPr>
            <w:tcW w:w="833" w:type="pct"/>
            <w:shd w:val="clear" w:color="auto" w:fill="auto"/>
            <w:vAlign w:val="center"/>
          </w:tcPr>
          <w:p w14:paraId="0E8991B1">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高工</w:t>
            </w:r>
          </w:p>
        </w:tc>
        <w:tc>
          <w:tcPr>
            <w:tcW w:w="1658" w:type="pct"/>
            <w:shd w:val="clear" w:color="auto" w:fill="auto"/>
            <w:vAlign w:val="center"/>
          </w:tcPr>
          <w:p w14:paraId="6DB66004">
            <w:pPr>
              <w:widowControl/>
              <w:jc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bidi="ar"/>
              </w:rPr>
              <w:t>咨询指导</w:t>
            </w:r>
          </w:p>
        </w:tc>
      </w:tr>
      <w:tr w14:paraId="181B1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51" w:type="pct"/>
            <w:shd w:val="clear" w:color="auto" w:fill="auto"/>
            <w:noWrap/>
            <w:vAlign w:val="center"/>
          </w:tcPr>
          <w:p w14:paraId="0BCFA0D7">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江苏省安全生产科学研究院</w:t>
            </w:r>
          </w:p>
        </w:tc>
        <w:tc>
          <w:tcPr>
            <w:tcW w:w="655" w:type="pct"/>
            <w:shd w:val="clear" w:color="auto" w:fill="auto"/>
            <w:noWrap/>
            <w:vAlign w:val="center"/>
          </w:tcPr>
          <w:p w14:paraId="375A1EC4">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高健</w:t>
            </w:r>
          </w:p>
        </w:tc>
        <w:tc>
          <w:tcPr>
            <w:tcW w:w="833" w:type="pct"/>
            <w:vAlign w:val="center"/>
          </w:tcPr>
          <w:p w14:paraId="175B03B2">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正高/所长</w:t>
            </w:r>
          </w:p>
        </w:tc>
        <w:tc>
          <w:tcPr>
            <w:tcW w:w="1658" w:type="pct"/>
            <w:vAlign w:val="center"/>
          </w:tcPr>
          <w:p w14:paraId="19A989E0">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咨询指导、审核把关</w:t>
            </w:r>
          </w:p>
        </w:tc>
      </w:tr>
      <w:tr w14:paraId="63E9E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51" w:type="pct"/>
            <w:shd w:val="clear" w:color="auto" w:fill="auto"/>
            <w:noWrap/>
            <w:vAlign w:val="center"/>
          </w:tcPr>
          <w:p w14:paraId="617814CE">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江苏省安全生产科学研究院</w:t>
            </w:r>
          </w:p>
        </w:tc>
        <w:tc>
          <w:tcPr>
            <w:tcW w:w="655" w:type="pct"/>
            <w:shd w:val="clear" w:color="auto" w:fill="auto"/>
            <w:noWrap/>
            <w:vAlign w:val="center"/>
          </w:tcPr>
          <w:p w14:paraId="56C301FE">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柏萍</w:t>
            </w:r>
          </w:p>
        </w:tc>
        <w:tc>
          <w:tcPr>
            <w:tcW w:w="833" w:type="pct"/>
            <w:vAlign w:val="center"/>
          </w:tcPr>
          <w:p w14:paraId="12306157">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正高/副所长</w:t>
            </w:r>
          </w:p>
        </w:tc>
        <w:tc>
          <w:tcPr>
            <w:tcW w:w="1658" w:type="pct"/>
            <w:vAlign w:val="center"/>
          </w:tcPr>
          <w:p w14:paraId="651307F1">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咨询指导、审核把关</w:t>
            </w:r>
          </w:p>
          <w:p w14:paraId="26249161">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编制说明</w:t>
            </w:r>
          </w:p>
        </w:tc>
      </w:tr>
      <w:tr w14:paraId="257F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51" w:type="pct"/>
            <w:shd w:val="clear" w:color="auto" w:fill="auto"/>
            <w:noWrap/>
            <w:vAlign w:val="center"/>
          </w:tcPr>
          <w:p w14:paraId="20617B86">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江苏省安全生产科学研究院</w:t>
            </w:r>
          </w:p>
        </w:tc>
        <w:tc>
          <w:tcPr>
            <w:tcW w:w="655" w:type="pct"/>
            <w:shd w:val="clear" w:color="auto" w:fill="auto"/>
            <w:noWrap/>
            <w:vAlign w:val="center"/>
          </w:tcPr>
          <w:p w14:paraId="56CC901B">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朱超</w:t>
            </w:r>
          </w:p>
        </w:tc>
        <w:tc>
          <w:tcPr>
            <w:tcW w:w="833" w:type="pct"/>
            <w:shd w:val="clear" w:color="auto" w:fill="auto"/>
            <w:vAlign w:val="center"/>
          </w:tcPr>
          <w:p w14:paraId="00C14024">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副高/副所长</w:t>
            </w:r>
          </w:p>
        </w:tc>
        <w:tc>
          <w:tcPr>
            <w:tcW w:w="1658" w:type="pct"/>
            <w:shd w:val="clear" w:color="auto" w:fill="auto"/>
            <w:vAlign w:val="center"/>
          </w:tcPr>
          <w:p w14:paraId="10C660E0">
            <w:pPr>
              <w:widowControl/>
              <w:jc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咨询指导、审核把关</w:t>
            </w:r>
          </w:p>
        </w:tc>
      </w:tr>
    </w:tbl>
    <w:p w14:paraId="16E5F374">
      <w:pPr>
        <w:jc w:val="right"/>
        <w:rPr>
          <w:rFonts w:hint="eastAsia" w:ascii="宋体" w:hAnsi="宋体" w:eastAsia="宋体" w:cs="宋体"/>
          <w:sz w:val="24"/>
        </w:rPr>
      </w:pPr>
    </w:p>
    <w:p w14:paraId="4B9E8E50">
      <w:pPr>
        <w:jc w:val="right"/>
        <w:rPr>
          <w:rFonts w:hint="eastAsia" w:ascii="宋体" w:hAnsi="宋体" w:eastAsia="宋体" w:cs="宋体"/>
          <w:sz w:val="24"/>
        </w:rPr>
      </w:pPr>
      <w:r>
        <w:rPr>
          <w:rFonts w:hint="eastAsia" w:ascii="宋体" w:hAnsi="宋体" w:eastAsia="宋体" w:cs="宋体"/>
          <w:sz w:val="24"/>
        </w:rPr>
        <w:t>《规范》编制组</w:t>
      </w:r>
    </w:p>
    <w:p w14:paraId="1CC661BD">
      <w:pPr>
        <w:spacing w:line="360" w:lineRule="auto"/>
        <w:ind w:firstLine="480" w:firstLineChars="200"/>
        <w:jc w:val="right"/>
        <w:rPr>
          <w:rFonts w:hint="eastAsia" w:ascii="宋体" w:hAnsi="宋体" w:eastAsia="宋体" w:cs="宋体"/>
          <w:kern w:val="0"/>
          <w:sz w:val="24"/>
          <w:szCs w:val="28"/>
        </w:rPr>
      </w:pPr>
      <w:r>
        <w:rPr>
          <w:rFonts w:hint="eastAsia" w:ascii="宋体" w:hAnsi="宋体" w:eastAsia="宋体" w:cs="宋体"/>
          <w:kern w:val="0"/>
          <w:sz w:val="24"/>
          <w:szCs w:val="28"/>
        </w:rPr>
        <w:t>二〇二五年</w:t>
      </w:r>
      <w:r>
        <w:rPr>
          <w:rFonts w:hint="eastAsia" w:ascii="宋体" w:hAnsi="宋体" w:eastAsia="宋体" w:cs="宋体"/>
          <w:kern w:val="0"/>
          <w:sz w:val="24"/>
          <w:szCs w:val="28"/>
          <w:lang w:val="en-US" w:eastAsia="zh-CN"/>
        </w:rPr>
        <w:t>四</w:t>
      </w:r>
      <w:r>
        <w:rPr>
          <w:rFonts w:hint="eastAsia" w:ascii="宋体" w:hAnsi="宋体" w:eastAsia="宋体" w:cs="宋体"/>
          <w:kern w:val="0"/>
          <w:sz w:val="24"/>
          <w:szCs w:val="28"/>
        </w:rPr>
        <w:t>月九日</w:t>
      </w:r>
    </w:p>
    <w:p w14:paraId="01A05EDD">
      <w:pPr>
        <w:spacing w:line="360" w:lineRule="auto"/>
        <w:rPr>
          <w:rFonts w:eastAsia="宋体" w:cs="Times New Roman"/>
          <w:sz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CDD10">
    <w:pPr>
      <w:ind w:right="227"/>
      <w:jc w:val="right"/>
      <w:rPr>
        <w:rFonts w:ascii="宋体" w:eastAsia="宋体" w:cs="Times New Roman"/>
        <w:sz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B2B808">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4B2B808">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EA2025"/>
    <w:multiLevelType w:val="multilevel"/>
    <w:tmpl w:val="6CEA2025"/>
    <w:lvl w:ilvl="0" w:tentative="0">
      <w:start w:val="1"/>
      <w:numFmt w:val="none"/>
      <w:pStyle w:val="18"/>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315"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B52"/>
    <w:rsid w:val="00161FE5"/>
    <w:rsid w:val="00313548"/>
    <w:rsid w:val="00527915"/>
    <w:rsid w:val="008A7B52"/>
    <w:rsid w:val="00A31F51"/>
    <w:rsid w:val="00D26139"/>
    <w:rsid w:val="01121891"/>
    <w:rsid w:val="022655F4"/>
    <w:rsid w:val="0247556A"/>
    <w:rsid w:val="02F56D74"/>
    <w:rsid w:val="030516AD"/>
    <w:rsid w:val="03101E00"/>
    <w:rsid w:val="047C62C9"/>
    <w:rsid w:val="04B2316F"/>
    <w:rsid w:val="05D15877"/>
    <w:rsid w:val="05E9713E"/>
    <w:rsid w:val="061B11E8"/>
    <w:rsid w:val="06BF6017"/>
    <w:rsid w:val="06C4362D"/>
    <w:rsid w:val="06D4158C"/>
    <w:rsid w:val="07373DFF"/>
    <w:rsid w:val="07966D78"/>
    <w:rsid w:val="07FF41AA"/>
    <w:rsid w:val="084418B6"/>
    <w:rsid w:val="08512C9F"/>
    <w:rsid w:val="089E49B5"/>
    <w:rsid w:val="094C50ED"/>
    <w:rsid w:val="095F4B2A"/>
    <w:rsid w:val="09922C06"/>
    <w:rsid w:val="0A5B0AFA"/>
    <w:rsid w:val="0A5E16A3"/>
    <w:rsid w:val="0B776EC0"/>
    <w:rsid w:val="0C0B3E5B"/>
    <w:rsid w:val="0C394176"/>
    <w:rsid w:val="0C9D2956"/>
    <w:rsid w:val="0D1C3E78"/>
    <w:rsid w:val="0FFC1742"/>
    <w:rsid w:val="10433815"/>
    <w:rsid w:val="12EB2D77"/>
    <w:rsid w:val="13A302CE"/>
    <w:rsid w:val="13D34EB0"/>
    <w:rsid w:val="14072DAB"/>
    <w:rsid w:val="149E54BE"/>
    <w:rsid w:val="15C34AB0"/>
    <w:rsid w:val="16443E43"/>
    <w:rsid w:val="16A42B33"/>
    <w:rsid w:val="177B5642"/>
    <w:rsid w:val="177E15D6"/>
    <w:rsid w:val="17856ED4"/>
    <w:rsid w:val="17976868"/>
    <w:rsid w:val="17E23913"/>
    <w:rsid w:val="17EA64CC"/>
    <w:rsid w:val="18362CC8"/>
    <w:rsid w:val="185145F5"/>
    <w:rsid w:val="19A215AC"/>
    <w:rsid w:val="19C61230"/>
    <w:rsid w:val="1A0E6C42"/>
    <w:rsid w:val="1B8A679C"/>
    <w:rsid w:val="1BE20386"/>
    <w:rsid w:val="1C237506"/>
    <w:rsid w:val="1D266050"/>
    <w:rsid w:val="1E37603B"/>
    <w:rsid w:val="1EBE10F0"/>
    <w:rsid w:val="1F2434FB"/>
    <w:rsid w:val="21613AFB"/>
    <w:rsid w:val="21AF402D"/>
    <w:rsid w:val="22590C76"/>
    <w:rsid w:val="259F4D0A"/>
    <w:rsid w:val="260F621B"/>
    <w:rsid w:val="269E30FB"/>
    <w:rsid w:val="26D703BB"/>
    <w:rsid w:val="26FE003E"/>
    <w:rsid w:val="28674986"/>
    <w:rsid w:val="28754330"/>
    <w:rsid w:val="28CA0C78"/>
    <w:rsid w:val="28CD1A76"/>
    <w:rsid w:val="28DA4193"/>
    <w:rsid w:val="29115E06"/>
    <w:rsid w:val="2996455E"/>
    <w:rsid w:val="29F772B7"/>
    <w:rsid w:val="2A0E0598"/>
    <w:rsid w:val="2A5C7555"/>
    <w:rsid w:val="2BCE7FDF"/>
    <w:rsid w:val="2C0A34F0"/>
    <w:rsid w:val="2C13673D"/>
    <w:rsid w:val="2CC47634"/>
    <w:rsid w:val="2CF0667B"/>
    <w:rsid w:val="2D2A56E9"/>
    <w:rsid w:val="2D4542D1"/>
    <w:rsid w:val="2DD90EBD"/>
    <w:rsid w:val="2DFF716E"/>
    <w:rsid w:val="2E3E0536"/>
    <w:rsid w:val="2E400F3C"/>
    <w:rsid w:val="2F0401BB"/>
    <w:rsid w:val="2F9439F1"/>
    <w:rsid w:val="2F9B1968"/>
    <w:rsid w:val="2FAF5F15"/>
    <w:rsid w:val="2FF74213"/>
    <w:rsid w:val="30444D13"/>
    <w:rsid w:val="31FC517A"/>
    <w:rsid w:val="32513718"/>
    <w:rsid w:val="32C7269D"/>
    <w:rsid w:val="334D4D38"/>
    <w:rsid w:val="335F0DF2"/>
    <w:rsid w:val="33633A77"/>
    <w:rsid w:val="34060532"/>
    <w:rsid w:val="34232959"/>
    <w:rsid w:val="349561C8"/>
    <w:rsid w:val="34B8182C"/>
    <w:rsid w:val="34C630A6"/>
    <w:rsid w:val="355F614C"/>
    <w:rsid w:val="36317AE8"/>
    <w:rsid w:val="3632560E"/>
    <w:rsid w:val="368857DA"/>
    <w:rsid w:val="375F7C52"/>
    <w:rsid w:val="37AC319E"/>
    <w:rsid w:val="37FF16E9"/>
    <w:rsid w:val="386E655D"/>
    <w:rsid w:val="388B1F42"/>
    <w:rsid w:val="38980E69"/>
    <w:rsid w:val="38BF6852"/>
    <w:rsid w:val="38BF7DC9"/>
    <w:rsid w:val="394E6C03"/>
    <w:rsid w:val="3AA36ADA"/>
    <w:rsid w:val="3B1E43B3"/>
    <w:rsid w:val="3B3936E0"/>
    <w:rsid w:val="3BCF7321"/>
    <w:rsid w:val="3BE9B60D"/>
    <w:rsid w:val="3BEE647B"/>
    <w:rsid w:val="3BFF41E4"/>
    <w:rsid w:val="3CF47AC1"/>
    <w:rsid w:val="3D127F47"/>
    <w:rsid w:val="3D371873"/>
    <w:rsid w:val="3DB755CD"/>
    <w:rsid w:val="3DBD4357"/>
    <w:rsid w:val="3DF1A548"/>
    <w:rsid w:val="3E1177E2"/>
    <w:rsid w:val="3E86299B"/>
    <w:rsid w:val="3EDB601D"/>
    <w:rsid w:val="3F2A00AF"/>
    <w:rsid w:val="3FDCA225"/>
    <w:rsid w:val="3FDD65EB"/>
    <w:rsid w:val="3FE06FE9"/>
    <w:rsid w:val="3FFF0C57"/>
    <w:rsid w:val="404623E2"/>
    <w:rsid w:val="40721429"/>
    <w:rsid w:val="41200E85"/>
    <w:rsid w:val="41A718EC"/>
    <w:rsid w:val="41AB14E8"/>
    <w:rsid w:val="421F113C"/>
    <w:rsid w:val="4292190E"/>
    <w:rsid w:val="42B0448A"/>
    <w:rsid w:val="42C6199F"/>
    <w:rsid w:val="432033BE"/>
    <w:rsid w:val="43A86F10"/>
    <w:rsid w:val="43B753A5"/>
    <w:rsid w:val="43F108B7"/>
    <w:rsid w:val="44210342"/>
    <w:rsid w:val="44823C05"/>
    <w:rsid w:val="451E56DB"/>
    <w:rsid w:val="45BE0C6C"/>
    <w:rsid w:val="45C667B6"/>
    <w:rsid w:val="46ED5A14"/>
    <w:rsid w:val="47044DA5"/>
    <w:rsid w:val="471A45C8"/>
    <w:rsid w:val="473C332F"/>
    <w:rsid w:val="474927B8"/>
    <w:rsid w:val="47FB96FF"/>
    <w:rsid w:val="48376AB4"/>
    <w:rsid w:val="48FF75D2"/>
    <w:rsid w:val="49494CF1"/>
    <w:rsid w:val="498A4BEA"/>
    <w:rsid w:val="49A2403D"/>
    <w:rsid w:val="49A455B6"/>
    <w:rsid w:val="4A7B537E"/>
    <w:rsid w:val="4B8451AC"/>
    <w:rsid w:val="4C2D7670"/>
    <w:rsid w:val="4CAC7A71"/>
    <w:rsid w:val="4DCA329A"/>
    <w:rsid w:val="4DDC4386"/>
    <w:rsid w:val="4E200716"/>
    <w:rsid w:val="4E54216E"/>
    <w:rsid w:val="4F2A7373"/>
    <w:rsid w:val="4F4C1097"/>
    <w:rsid w:val="4F4C6AE6"/>
    <w:rsid w:val="4F7B0FD4"/>
    <w:rsid w:val="4FD54973"/>
    <w:rsid w:val="4FFFF012"/>
    <w:rsid w:val="502344EE"/>
    <w:rsid w:val="503A5393"/>
    <w:rsid w:val="50621163"/>
    <w:rsid w:val="5075328B"/>
    <w:rsid w:val="508126D0"/>
    <w:rsid w:val="50A32F39"/>
    <w:rsid w:val="50C17863"/>
    <w:rsid w:val="51267992"/>
    <w:rsid w:val="51595CED"/>
    <w:rsid w:val="51D610EC"/>
    <w:rsid w:val="521340EE"/>
    <w:rsid w:val="524B7D2C"/>
    <w:rsid w:val="52E01BE3"/>
    <w:rsid w:val="53052F13"/>
    <w:rsid w:val="53E915AA"/>
    <w:rsid w:val="54501629"/>
    <w:rsid w:val="54662BFB"/>
    <w:rsid w:val="54E00A4E"/>
    <w:rsid w:val="54F00716"/>
    <w:rsid w:val="54F679E5"/>
    <w:rsid w:val="555148AC"/>
    <w:rsid w:val="55B81234"/>
    <w:rsid w:val="562138B1"/>
    <w:rsid w:val="567A72D5"/>
    <w:rsid w:val="56F72230"/>
    <w:rsid w:val="5717642E"/>
    <w:rsid w:val="57405985"/>
    <w:rsid w:val="575D6537"/>
    <w:rsid w:val="578A6C00"/>
    <w:rsid w:val="581F685D"/>
    <w:rsid w:val="586456A3"/>
    <w:rsid w:val="58E44E66"/>
    <w:rsid w:val="593A3EC9"/>
    <w:rsid w:val="595E6596"/>
    <w:rsid w:val="59722042"/>
    <w:rsid w:val="59DAAD7E"/>
    <w:rsid w:val="5A0A4028"/>
    <w:rsid w:val="5AA61FA3"/>
    <w:rsid w:val="5AA83521"/>
    <w:rsid w:val="5B70435F"/>
    <w:rsid w:val="5B871DD5"/>
    <w:rsid w:val="5BCFFD2C"/>
    <w:rsid w:val="5BFBC3BB"/>
    <w:rsid w:val="5D005F6D"/>
    <w:rsid w:val="5D3E4217"/>
    <w:rsid w:val="5D413957"/>
    <w:rsid w:val="5D544307"/>
    <w:rsid w:val="5D591F6A"/>
    <w:rsid w:val="5DFFF114"/>
    <w:rsid w:val="5E655CD1"/>
    <w:rsid w:val="5F5F256D"/>
    <w:rsid w:val="5F88611B"/>
    <w:rsid w:val="5F9E9740"/>
    <w:rsid w:val="5FAE3A4E"/>
    <w:rsid w:val="5FB32914"/>
    <w:rsid w:val="5FCA04E2"/>
    <w:rsid w:val="5FFF5255"/>
    <w:rsid w:val="603C0CB4"/>
    <w:rsid w:val="61DA69D6"/>
    <w:rsid w:val="625416C3"/>
    <w:rsid w:val="628E3AEC"/>
    <w:rsid w:val="63212B0F"/>
    <w:rsid w:val="64E275B7"/>
    <w:rsid w:val="65414F7C"/>
    <w:rsid w:val="65FA63F8"/>
    <w:rsid w:val="66137DDF"/>
    <w:rsid w:val="669F3BE8"/>
    <w:rsid w:val="66E4589B"/>
    <w:rsid w:val="66F928BE"/>
    <w:rsid w:val="67717495"/>
    <w:rsid w:val="67F75620"/>
    <w:rsid w:val="6809591F"/>
    <w:rsid w:val="684706A7"/>
    <w:rsid w:val="68E85E7D"/>
    <w:rsid w:val="68FE744E"/>
    <w:rsid w:val="69026F3E"/>
    <w:rsid w:val="694A15CE"/>
    <w:rsid w:val="69B74EA2"/>
    <w:rsid w:val="6A0E01F9"/>
    <w:rsid w:val="6AE368FC"/>
    <w:rsid w:val="6B712159"/>
    <w:rsid w:val="6BB838E4"/>
    <w:rsid w:val="6BCC3587"/>
    <w:rsid w:val="6BCF5605"/>
    <w:rsid w:val="6BFB1A23"/>
    <w:rsid w:val="6C08751D"/>
    <w:rsid w:val="6C454B80"/>
    <w:rsid w:val="6C726189"/>
    <w:rsid w:val="6C8B0FF9"/>
    <w:rsid w:val="6CB57E24"/>
    <w:rsid w:val="6D281BD1"/>
    <w:rsid w:val="6D3D697A"/>
    <w:rsid w:val="6D5B6C1D"/>
    <w:rsid w:val="6D6535F8"/>
    <w:rsid w:val="6D8F2D6B"/>
    <w:rsid w:val="6DCA217C"/>
    <w:rsid w:val="6DDC289C"/>
    <w:rsid w:val="6E067091"/>
    <w:rsid w:val="6E3D40C9"/>
    <w:rsid w:val="6E7A38B4"/>
    <w:rsid w:val="6EB34837"/>
    <w:rsid w:val="6EB834F4"/>
    <w:rsid w:val="6ECB392F"/>
    <w:rsid w:val="6EF8230D"/>
    <w:rsid w:val="6F0D03EB"/>
    <w:rsid w:val="6F611529"/>
    <w:rsid w:val="6FB10D76"/>
    <w:rsid w:val="6FBD5261"/>
    <w:rsid w:val="6FFE10CE"/>
    <w:rsid w:val="70826F57"/>
    <w:rsid w:val="70A26911"/>
    <w:rsid w:val="70A27315"/>
    <w:rsid w:val="70B977CB"/>
    <w:rsid w:val="711315BD"/>
    <w:rsid w:val="717F34AC"/>
    <w:rsid w:val="72113D4E"/>
    <w:rsid w:val="726F4F19"/>
    <w:rsid w:val="739A0559"/>
    <w:rsid w:val="73B652EB"/>
    <w:rsid w:val="73CF31CB"/>
    <w:rsid w:val="73DA7A27"/>
    <w:rsid w:val="73FF889A"/>
    <w:rsid w:val="746E36DA"/>
    <w:rsid w:val="74AFD6C1"/>
    <w:rsid w:val="753FF019"/>
    <w:rsid w:val="76884F57"/>
    <w:rsid w:val="76A2766B"/>
    <w:rsid w:val="76CF0C21"/>
    <w:rsid w:val="77000835"/>
    <w:rsid w:val="777C610E"/>
    <w:rsid w:val="77C67389"/>
    <w:rsid w:val="784E5D32"/>
    <w:rsid w:val="78905806"/>
    <w:rsid w:val="78DC26B9"/>
    <w:rsid w:val="79244A8E"/>
    <w:rsid w:val="794B223C"/>
    <w:rsid w:val="79CFCEF0"/>
    <w:rsid w:val="79D42231"/>
    <w:rsid w:val="79F5C6AF"/>
    <w:rsid w:val="79FE105C"/>
    <w:rsid w:val="7A4E3666"/>
    <w:rsid w:val="7A672AA9"/>
    <w:rsid w:val="7AA02113"/>
    <w:rsid w:val="7ABE6766"/>
    <w:rsid w:val="7B5C26B1"/>
    <w:rsid w:val="7C7E6484"/>
    <w:rsid w:val="7C961A20"/>
    <w:rsid w:val="7C9C2DAE"/>
    <w:rsid w:val="7CECF5EC"/>
    <w:rsid w:val="7D0D5AB6"/>
    <w:rsid w:val="7DF78969"/>
    <w:rsid w:val="7E1F209D"/>
    <w:rsid w:val="7E651F84"/>
    <w:rsid w:val="7EB443DF"/>
    <w:rsid w:val="7EB77A2B"/>
    <w:rsid w:val="7F436906"/>
    <w:rsid w:val="7F7D8220"/>
    <w:rsid w:val="7F98785D"/>
    <w:rsid w:val="7FB4040F"/>
    <w:rsid w:val="7FB65F35"/>
    <w:rsid w:val="7FCEF02C"/>
    <w:rsid w:val="7FF84478"/>
    <w:rsid w:val="7FFF06B7"/>
    <w:rsid w:val="9FC7F637"/>
    <w:rsid w:val="AA5F257A"/>
    <w:rsid w:val="B3FF600F"/>
    <w:rsid w:val="C7FF93E5"/>
    <w:rsid w:val="D74B6FEF"/>
    <w:rsid w:val="D7D62D5E"/>
    <w:rsid w:val="D7FAE8BD"/>
    <w:rsid w:val="DE3F27BB"/>
    <w:rsid w:val="DEE50E57"/>
    <w:rsid w:val="DFEE4AB5"/>
    <w:rsid w:val="E78439D9"/>
    <w:rsid w:val="EFC08A6B"/>
    <w:rsid w:val="EFE93F9B"/>
    <w:rsid w:val="F5BD221A"/>
    <w:rsid w:val="F93EA44D"/>
    <w:rsid w:val="F97A333C"/>
    <w:rsid w:val="FAFF6C27"/>
    <w:rsid w:val="FB1E28AA"/>
    <w:rsid w:val="FB7673BD"/>
    <w:rsid w:val="FBEEA761"/>
    <w:rsid w:val="FBF80655"/>
    <w:rsid w:val="FC23CDAC"/>
    <w:rsid w:val="FDEEC2FE"/>
    <w:rsid w:val="FDFB4E4E"/>
    <w:rsid w:val="FDFF520D"/>
    <w:rsid w:val="FE74604E"/>
    <w:rsid w:val="FF32D59E"/>
    <w:rsid w:val="FF8CE86E"/>
    <w:rsid w:val="FFBB09AB"/>
    <w:rsid w:val="FFDB08C1"/>
    <w:rsid w:val="FFFFEE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jc w:val="both"/>
    </w:pPr>
    <w:rPr>
      <w:rFonts w:ascii="Times New Roman" w:hAnsi="Times New Roman" w:eastAsia="方正仿宋_GBK" w:cstheme="minorBidi"/>
      <w:kern w:val="2"/>
      <w:szCs w:val="24"/>
      <w:lang w:val="en-US" w:eastAsia="zh-CN" w:bidi="ar-SA"/>
    </w:rPr>
  </w:style>
  <w:style w:type="paragraph" w:styleId="2">
    <w:name w:val="heading 1"/>
    <w:basedOn w:val="1"/>
    <w:next w:val="1"/>
    <w:qFormat/>
    <w:uiPriority w:val="0"/>
    <w:pPr>
      <w:keepNext/>
      <w:keepLines/>
      <w:spacing w:line="700" w:lineRule="exact"/>
      <w:jc w:val="center"/>
      <w:outlineLvl w:val="0"/>
    </w:pPr>
    <w:rPr>
      <w:rFonts w:eastAsia="方正小标宋_GBK"/>
      <w:kern w:val="44"/>
      <w:sz w:val="44"/>
    </w:rPr>
  </w:style>
  <w:style w:type="paragraph" w:styleId="3">
    <w:name w:val="heading 2"/>
    <w:basedOn w:val="1"/>
    <w:next w:val="1"/>
    <w:semiHidden/>
    <w:unhideWhenUsed/>
    <w:qFormat/>
    <w:uiPriority w:val="0"/>
    <w:pPr>
      <w:keepNext/>
      <w:keepLines/>
      <w:spacing w:before="50" w:beforeLines="50" w:after="50" w:afterLines="50" w:line="540" w:lineRule="exact"/>
      <w:outlineLvl w:val="1"/>
    </w:pPr>
    <w:rPr>
      <w:rFonts w:ascii="Arial" w:hAnsi="Arial" w:eastAsia="方正黑体_GBK"/>
      <w:b/>
      <w:sz w:val="32"/>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5">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paragraph" w:styleId="6">
    <w:name w:val="heading 5"/>
    <w:basedOn w:val="1"/>
    <w:next w:val="1"/>
    <w:semiHidden/>
    <w:unhideWhenUsed/>
    <w:qFormat/>
    <w:uiPriority w:val="0"/>
    <w:pPr>
      <w:spacing w:beforeAutospacing="1" w:afterAutospacing="1"/>
      <w:jc w:val="left"/>
      <w:outlineLvl w:val="4"/>
    </w:pPr>
    <w:rPr>
      <w:rFonts w:hint="eastAsia" w:ascii="宋体" w:hAnsi="宋体" w:eastAsia="宋体" w:cs="Times New Roman"/>
      <w:b/>
      <w:bCs/>
      <w:kern w:val="0"/>
      <w:szCs w:val="20"/>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qFormat/>
    <w:uiPriority w:val="0"/>
    <w:pPr>
      <w:jc w:val="left"/>
    </w:pPr>
  </w:style>
  <w:style w:type="paragraph" w:styleId="8">
    <w:name w:val="Body Text Indent"/>
    <w:basedOn w:val="1"/>
    <w:qFormat/>
    <w:uiPriority w:val="0"/>
    <w:pPr>
      <w:spacing w:after="120"/>
      <w:ind w:left="420" w:leftChars="200"/>
    </w:pPr>
  </w:style>
  <w:style w:type="paragraph" w:styleId="9">
    <w:name w:val="footer"/>
    <w:basedOn w:val="1"/>
    <w:qFormat/>
    <w:uiPriority w:val="0"/>
    <w:pPr>
      <w:tabs>
        <w:tab w:val="center" w:pos="4153"/>
        <w:tab w:val="right" w:pos="8306"/>
      </w:tabs>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center"/>
    </w:pPr>
    <w:rPr>
      <w:rFonts w:eastAsia="方正楷体_GBK"/>
      <w:sz w:val="30"/>
    </w:rPr>
  </w:style>
  <w:style w:type="paragraph" w:styleId="11">
    <w:name w:val="Normal (Web)"/>
    <w:basedOn w:val="1"/>
    <w:qFormat/>
    <w:uiPriority w:val="0"/>
    <w:pPr>
      <w:spacing w:beforeAutospacing="1" w:afterAutospacing="1"/>
      <w:jc w:val="left"/>
    </w:pPr>
    <w:rPr>
      <w:rFonts w:cs="Times New Roman"/>
      <w:kern w:val="0"/>
      <w:sz w:val="24"/>
    </w:rPr>
  </w:style>
  <w:style w:type="paragraph" w:styleId="12">
    <w:name w:val="Body Text First Indent 2"/>
    <w:basedOn w:val="8"/>
    <w:next w:val="1"/>
    <w:qFormat/>
    <w:uiPriority w:val="0"/>
    <w:pPr>
      <w:ind w:firstLine="210" w:firstLineChars="200"/>
    </w:pPr>
    <w:rPr>
      <w:rFonts w:eastAsia="仿宋_GB2312" w:cs="Times New Roman"/>
      <w:snapToGrid w:val="0"/>
      <w:sz w:val="32"/>
    </w:r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paragraph" w:customStyle="1" w:styleId="17">
    <w:name w:val="目次、标准名称标题"/>
    <w:basedOn w:val="18"/>
    <w:next w:val="19"/>
    <w:qFormat/>
    <w:uiPriority w:val="0"/>
    <w:pPr>
      <w:numPr>
        <w:numId w:val="0"/>
      </w:numPr>
      <w:spacing w:line="460" w:lineRule="exact"/>
    </w:pPr>
  </w:style>
  <w:style w:type="paragraph" w:customStyle="1" w:styleId="18">
    <w:name w:val="前言、引言标题"/>
    <w:next w:val="1"/>
    <w:qFormat/>
    <w:uiPriority w:val="0"/>
    <w:pPr>
      <w:numPr>
        <w:ilvl w:val="0"/>
        <w:numId w:val="1"/>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styleId="20">
    <w:name w:val="List Paragraph"/>
    <w:basedOn w:val="1"/>
    <w:qFormat/>
    <w:uiPriority w:val="34"/>
    <w:pPr>
      <w:ind w:firstLine="420" w:firstLineChars="200"/>
    </w:pPr>
  </w:style>
  <w:style w:type="paragraph" w:customStyle="1" w:styleId="21">
    <w:name w:val="Revision"/>
    <w:hidden/>
    <w:unhideWhenUsed/>
    <w:qFormat/>
    <w:uiPriority w:val="99"/>
    <w:rPr>
      <w:rFonts w:ascii="Times New Roman" w:hAnsi="Times New Roman" w:eastAsia="方正仿宋_GBK" w:cstheme="minorBidi"/>
      <w:kern w:val="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7847</Words>
  <Characters>7988</Characters>
  <Lines>59</Lines>
  <Paragraphs>16</Paragraphs>
  <TotalTime>5</TotalTime>
  <ScaleCrop>false</ScaleCrop>
  <LinksUpToDate>false</LinksUpToDate>
  <CharactersWithSpaces>7994</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2025-04-01T20:17:00Z</dcterms:created>
  <dc:creator>安科院</dc:creator>
  <cp:lastModifiedBy>柏萍</cp:lastModifiedBy>
  <dcterms:modified xsi:type="dcterms:W3CDTF">2025-04-09T07:29:29Z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B997153242E6497687A4636219143621_13</vt:lpwstr>
  </property>
  <property fmtid="{D5CDD505-2E9C-101B-9397-08002B2CF9AE}" pid="4" name="KSOTemplateDocerSaveRecord">
    <vt:lpwstr>eyJoZGlkIjoiZmJmODhlNmU5YTY2NWQ2MjI2YjI3MTcyOTkxNmY5NWIiLCJ1c2VySWQiOiI2MDE5NTQ1MDYifQ==</vt:lpwstr>
  </property>
</Properties>
</file>