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spacing w:line="560" w:lineRule="atLeast"/>
        <w:jc w:val="both"/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  <w:t>附件2</w:t>
      </w:r>
    </w:p>
    <w:p>
      <w:pPr>
        <w:spacing w:line="560" w:lineRule="atLeast"/>
        <w:jc w:val="center"/>
        <w:rPr>
          <w:rFonts w:hint="default" w:ascii="Times New Roman" w:hAnsi="Times New Roman" w:eastAsia="方正小标宋_GBK" w:cs="Times New Roman"/>
          <w:sz w:val="44"/>
          <w:szCs w:val="44"/>
        </w:rPr>
      </w:pPr>
    </w:p>
    <w:p>
      <w:pPr>
        <w:spacing w:line="560" w:lineRule="atLeast"/>
        <w:jc w:val="center"/>
        <w:rPr>
          <w:rFonts w:hint="default" w:ascii="Times New Roman" w:hAnsi="Times New Roman" w:eastAsia="方正小标宋_GBK" w:cs="Times New Roman"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sz w:val="44"/>
          <w:szCs w:val="44"/>
        </w:rPr>
        <w:t>危险化学品重点县化工专家管理办法</w:t>
      </w:r>
    </w:p>
    <w:p>
      <w:pPr>
        <w:spacing w:line="560" w:lineRule="atLeas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</w:p>
    <w:p>
      <w:pPr>
        <w:spacing w:line="560" w:lineRule="atLeast"/>
        <w:ind w:firstLine="640" w:firstLineChars="200"/>
        <w:jc w:val="left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第一条 为规范危险化学品重点县化工专家管理，明确工作职责，提升化工专家指导和服务能力，充分调动和发挥化工专家专业技术支撑作用，有力保障全省危险化学品安全生产状况持续稳定好转，制定《危险化学品重点县化工专家管理办法》。</w:t>
      </w:r>
    </w:p>
    <w:p>
      <w:pPr>
        <w:spacing w:line="560" w:lineRule="atLeas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第二条 专家基本条件</w:t>
      </w:r>
    </w:p>
    <w:p>
      <w:pPr>
        <w:spacing w:line="560" w:lineRule="atLeas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（一）中央企业、省属企业、合资独资企业、民营企业等化工企业或化工设计单位在职或近3年内退休的工艺、设备、仪表、安全等专业技术人员，具有中级及以上专业技术职称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或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在主要化工装置工作3年以上。</w:t>
      </w:r>
    </w:p>
    <w:p>
      <w:pPr>
        <w:spacing w:line="560" w:lineRule="atLeas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（二）熟悉安全生产法律法规、方针政策和技术标准、规范，具有崇高的事业心和责任感，思想作风端正。</w:t>
      </w:r>
    </w:p>
    <w:p>
      <w:pPr>
        <w:spacing w:line="560" w:lineRule="atLeas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（三）年龄一般不超过60周岁，身体健康，能从事现场检查，在化工行业领域有较高技术权威的年龄可适当放宽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至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65周岁。</w:t>
      </w:r>
    </w:p>
    <w:p>
      <w:pPr>
        <w:spacing w:line="560" w:lineRule="atLeas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第三条  专家职责</w:t>
      </w:r>
    </w:p>
    <w:p>
      <w:pPr>
        <w:spacing w:line="560" w:lineRule="atLeas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（一）参与应急管理部门组织的行政许可现场审查、行政执法检查、安全专项整治、隐患排查治理、应急救援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处置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、安全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教育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培训等工作并提供专业技术支持。</w:t>
      </w:r>
    </w:p>
    <w:p>
      <w:pPr>
        <w:spacing w:line="560" w:lineRule="atLeas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（二）协助应急管理部门指导辖区内企业建立健全安全生产管理制度、推进安全管理体系有效运行、排查治理生产安全事故隐患、开展安全专题教育培训、加强安全生产基础建设。</w:t>
      </w:r>
    </w:p>
    <w:p>
      <w:pPr>
        <w:spacing w:line="560" w:lineRule="atLeas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（三）采取专家讲坛、示范检查、重点指导等方式，带动提升基层安全监管人员的专业技术能力。</w:t>
      </w:r>
    </w:p>
    <w:p>
      <w:pPr>
        <w:spacing w:line="560" w:lineRule="atLeas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（四）协助应急管理部门承担专题调研，为安全生产工作提出意见和建议。</w:t>
      </w:r>
    </w:p>
    <w:p>
      <w:pPr>
        <w:spacing w:line="560" w:lineRule="atLeas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（六）参与安全生产学术研讨交流，为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监管部门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、企业提供相关技术咨询服务。</w:t>
      </w:r>
    </w:p>
    <w:p>
      <w:pPr>
        <w:spacing w:line="560" w:lineRule="atLeas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（七）参与安全生产宣传教育活动，普及安全生产科技知识。</w:t>
      </w:r>
    </w:p>
    <w:p>
      <w:pPr>
        <w:spacing w:line="560" w:lineRule="atLeas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（八）参与应急管理部门安排的其它相关活动并承担相应的工作任务。</w:t>
      </w:r>
    </w:p>
    <w:p>
      <w:pPr>
        <w:spacing w:line="560" w:lineRule="atLeas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第四条 专家聘任程序</w:t>
      </w:r>
    </w:p>
    <w:p>
      <w:pPr>
        <w:spacing w:line="560" w:lineRule="atLeas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（一）本人自愿填写《江苏省危险化学品重点县常驻专家申报表》并提供相关证明材料，经所在单位同意，所在设区市应急管理部门审核后报江苏省应急管理厅。</w:t>
      </w:r>
    </w:p>
    <w:p>
      <w:pPr>
        <w:spacing w:line="560" w:lineRule="atLeas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（二）江苏省应急管理厅审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核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后公布专家名单。</w:t>
      </w:r>
    </w:p>
    <w:p>
      <w:pPr>
        <w:spacing w:line="560" w:lineRule="atLeas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（三</w:t>
      </w:r>
      <w:bookmarkStart w:id="0" w:name="_GoBack"/>
      <w:bookmarkEnd w:id="0"/>
      <w:r>
        <w:rPr>
          <w:rFonts w:hint="default" w:ascii="Times New Roman" w:hAnsi="Times New Roman" w:eastAsia="方正仿宋_GBK" w:cs="Times New Roman"/>
          <w:sz w:val="32"/>
          <w:szCs w:val="32"/>
        </w:rPr>
        <w:t>）专家实行聘任制，聘期2年，由江苏省应急管理厅统一</w:t>
      </w:r>
      <w:r>
        <w:rPr>
          <w:rFonts w:hint="eastAsia" w:ascii="Times New Roman" w:hAnsi="Times New Roman" w:eastAsia="方正仿宋_GBK" w:cs="Times New Roman"/>
          <w:color w:val="auto"/>
          <w:sz w:val="32"/>
          <w:szCs w:val="32"/>
          <w:lang w:eastAsia="zh-CN"/>
        </w:rPr>
        <w:t>聘任</w:t>
      </w:r>
      <w:r>
        <w:rPr>
          <w:rFonts w:hint="default" w:ascii="Times New Roman" w:hAnsi="Times New Roman" w:eastAsia="方正仿宋_GBK" w:cs="Times New Roman"/>
          <w:color w:val="auto"/>
          <w:sz w:val="32"/>
          <w:szCs w:val="32"/>
        </w:rPr>
        <w:t>。</w:t>
      </w:r>
    </w:p>
    <w:p>
      <w:pPr>
        <w:spacing w:line="560" w:lineRule="atLeas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（四）所聘专家为江苏省危险化学品重点县常驻专家，应在危险化学品重点县应急管理部门驻点工作。专家因身体、工作变动等原因，不再适合从事专家工作的，由本人或其所在单位提出申请，由设区市应急管理部门向江苏省应急管理厅提出解聘建议，江苏省应急管理厅审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核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后予以解聘。</w:t>
      </w:r>
    </w:p>
    <w:p>
      <w:pPr>
        <w:spacing w:line="560" w:lineRule="atLeas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（五）聘任期内无正当理由不参加正常活动，或者违反国家法律法规、不遵守本办法规定、工作业绩考核不合格的，由设区市应急管理部门解聘，并报江苏省应急管理厅。</w:t>
      </w:r>
    </w:p>
    <w:p>
      <w:pPr>
        <w:spacing w:line="560" w:lineRule="atLeas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（六）根据需要和情况变化，省应急管理厅可适时解聘和增补专家。</w:t>
      </w:r>
    </w:p>
    <w:p>
      <w:pPr>
        <w:spacing w:line="560" w:lineRule="atLeas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第五条 专家工作守则</w:t>
      </w:r>
    </w:p>
    <w:p>
      <w:pPr>
        <w:spacing w:line="560" w:lineRule="atLeas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（一）遵守法律、法规、规章和工作纪律，坚持实事求是的科学态度，深入实际调查研究，客观、公正开展工作，并对聘任单位负责。</w:t>
      </w:r>
    </w:p>
    <w:p>
      <w:pPr>
        <w:spacing w:line="560" w:lineRule="atLeas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（二）每年至少接受1次专题业务培训。</w:t>
      </w:r>
    </w:p>
    <w:p>
      <w:pPr>
        <w:spacing w:line="560" w:lineRule="atLeas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（三）严格执行保密制度，保守国家秘密、工作秘密，保守被指导服务单位的商业和技术秘密。</w:t>
      </w:r>
    </w:p>
    <w:p>
      <w:pPr>
        <w:spacing w:line="560" w:lineRule="atLeas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（四）每半年向聘任单位提交书面工作报告。</w:t>
      </w:r>
    </w:p>
    <w:p>
      <w:pPr>
        <w:spacing w:line="560" w:lineRule="atLeas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（五）不单独从事安全生产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行政许可、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执法等工作。</w:t>
      </w:r>
    </w:p>
    <w:p>
      <w:pPr>
        <w:spacing w:line="560" w:lineRule="atLeas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第六条 新酬待遇</w:t>
      </w:r>
    </w:p>
    <w:p>
      <w:pPr>
        <w:spacing w:line="560" w:lineRule="atLeas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（一）在职专家聘任期间的工资、奖金等待遇原则上由派出企业（单位）支付。派出企业（单位）承担专家工资、奖金有困难的，由省应急管理厅会同重点县应急管理局与派出企业（单位）协商解决。</w:t>
      </w:r>
    </w:p>
    <w:p>
      <w:pPr>
        <w:spacing w:line="560" w:lineRule="atLeas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（二）专家的休假原则上按照派出企业（单位）的休假制度执行，由专家和聘任单位协商落实。</w:t>
      </w:r>
    </w:p>
    <w:p>
      <w:pPr>
        <w:spacing w:line="560" w:lineRule="atLeas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（三）专家执行工作任务时，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差旅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经费由聘任单位按国家有关规定执行。</w:t>
      </w:r>
    </w:p>
    <w:p>
      <w:pPr>
        <w:spacing w:line="560" w:lineRule="atLeas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第七条 考核问效</w:t>
      </w:r>
    </w:p>
    <w:p>
      <w:pPr>
        <w:spacing w:line="560" w:lineRule="atLeas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（一）专家聘任单位应建立考核评估制度，每年对专家的履职情况进行考核，考核结果于次年1月底前分别上报设区市应急管理局和省应急管理厅，同时抄送派出企业（单位）。</w:t>
      </w:r>
    </w:p>
    <w:p>
      <w:pPr>
        <w:spacing w:line="560" w:lineRule="atLeas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（二）省应急管理厅根据考核结果对聘任专家进行动态调整。</w:t>
      </w:r>
    </w:p>
    <w:p>
      <w:pPr>
        <w:spacing w:line="560" w:lineRule="atLeas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（三）受聘期间工作业绩突出的专家，可优先推荐为市级、省级、国家级安全生产专家。</w:t>
      </w:r>
    </w:p>
    <w:p>
      <w:pPr>
        <w:spacing w:line="560" w:lineRule="atLeas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第八条 本办法由江苏省应急管理厅负责解释。</w:t>
      </w:r>
    </w:p>
    <w:p>
      <w:pPr>
        <w:spacing w:line="560" w:lineRule="atLeas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第九条 本办法自下发之日起执行。</w:t>
      </w:r>
    </w:p>
    <w:p>
      <w:pPr>
        <w:spacing w:line="560" w:lineRule="atLeast"/>
        <w:ind w:firstLine="640" w:firstLineChars="200"/>
        <w:jc w:val="center"/>
        <w:rPr>
          <w:rFonts w:hint="default" w:ascii="Times New Roman" w:hAnsi="Times New Roman" w:eastAsia="方正仿宋_GBK" w:cs="Times New Roman"/>
          <w:sz w:val="32"/>
          <w:szCs w:val="32"/>
        </w:rPr>
      </w:pPr>
    </w:p>
    <w:p>
      <w:pPr>
        <w:spacing w:line="560" w:lineRule="atLeast"/>
        <w:ind w:firstLine="640" w:firstLineChars="200"/>
        <w:jc w:val="center"/>
        <w:rPr>
          <w:rFonts w:hint="default" w:ascii="Times New Roman" w:hAnsi="Times New Roman" w:eastAsia="方正仿宋_GBK" w:cs="Times New Roman"/>
          <w:sz w:val="32"/>
          <w:szCs w:val="32"/>
        </w:rPr>
      </w:pPr>
    </w:p>
    <w:sectPr>
      <w:footerReference r:id="rId4" w:type="default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auto"/>
    <w:pitch w:val="default"/>
    <w:sig w:usb0="E00002FF" w:usb1="4000ACFF" w:usb2="00000001" w:usb3="00000000" w:csb0="2000019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3C0041" w:csb1="A00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pStyle w:val="2"/>
      <w:jc w:val="center"/>
    </w:pPr>
    <w:r>
      <w:fldChar w:fldCharType="begin"/>
    </w:r>
    <w:r>
      <w:instrText xml:space="preserve">PAGE   \* MERGEFORMAT</w:instrText>
    </w:r>
    <w:r>
      <w:fldChar w:fldCharType="separate"/>
    </w:r>
    <w:r>
      <w:rPr>
        <w:lang w:val="zh-CN"/>
      </w:rPr>
      <w:t>4</w:t>
    </w:r>
    <w:r>
      <w:fldChar w:fldCharType="end"/>
    </w:r>
  </w:p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NormalStyleForList/>
    <w:allowSpaceOfSameStyleInTable/>
    <w:doNotSuppressIndentation/>
    <w:doNotAutofitConstrainedTables/>
    <w:autofitToFirstFixedWidthCell/>
    <w:displayHangulFixedWidth/>
    <w:doNotVertAlignCellWithSp/>
    <w:doNotBreakConstrainedForcedTable/>
    <w:doNotVertAlignInTxbx/>
    <w:useAnsiKerningPairs/>
    <w:cachedColBalance/>
  </w:compat>
  <w:rsids>
    <w:rsidRoot w:val="006E0083"/>
    <w:rsid w:val="00013341"/>
    <w:rsid w:val="00173A00"/>
    <w:rsid w:val="0018223D"/>
    <w:rsid w:val="001D1410"/>
    <w:rsid w:val="002E0BD0"/>
    <w:rsid w:val="0032207C"/>
    <w:rsid w:val="003F5FD8"/>
    <w:rsid w:val="003F7D57"/>
    <w:rsid w:val="005910A4"/>
    <w:rsid w:val="005D7FBC"/>
    <w:rsid w:val="00676204"/>
    <w:rsid w:val="006E0083"/>
    <w:rsid w:val="007128D3"/>
    <w:rsid w:val="007F0C7D"/>
    <w:rsid w:val="00816C03"/>
    <w:rsid w:val="008A2D41"/>
    <w:rsid w:val="00904001"/>
    <w:rsid w:val="00A00C0B"/>
    <w:rsid w:val="00A752A9"/>
    <w:rsid w:val="00A77948"/>
    <w:rsid w:val="00B93603"/>
    <w:rsid w:val="00C1111B"/>
    <w:rsid w:val="00C649F1"/>
    <w:rsid w:val="00E750E6"/>
    <w:rsid w:val="13CA3F1E"/>
    <w:rsid w:val="6CCC17A6"/>
    <w:rsid w:val="6D4E0A7A"/>
  </w:rsids>
  <w:shapeDefaults>
    <o:shapedefaults fillcolor="#9CBEE0" fill="t" stroke="t">
      <v:fill type="gradient" on="t" color2="#BBD5F0" focus="0%" focussize="0f,0f" focusposition="0f,0f">
        <o:fill type="gradientUnscaled" v:ext="backwardCompatible"/>
      </v:fill>
      <v:stroke weight="1.25pt" color="#739CC3" color2="#FFFFFF" miterlimit="2"/>
    </o:shapedefaults>
  </w:shapeDefaults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  <w:lang w:val="en-US" w:eastAsia="zh-CN" w:bidi="ar-SA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uiPriority="99" w:semiHidden="0" w:name="header"/>
    <w:lsdException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uiPriority="1" w:semiHidden="0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uiPriority="99" w:semiHidden="0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unhideWhenUsed/>
    <w:uiPriority w:val="1"/>
  </w:style>
  <w:style w:type="table" w:default="1" w:styleId="5">
    <w:name w:val="Normal Table"/>
    <w:unhideWhenUsed/>
    <w:uiPriority w:val="99"/>
    <w:tblPr>
      <w:tblStyle w:val="5"/>
      <w:tblLayout w:type="fixed"/>
      <w:tblCellMar>
        <w:top w:w="0" w:type="dxa"/>
        <w:left w:w="108" w:type="dxa"/>
        <w:bottom w:w="0" w:type="dxa"/>
        <w:right w:w="108" w:type="dxa"/>
      </w:tblCellMar>
    </w:tblPr>
    <w:tcPr>
      <w:textDirection w:val="lrTb"/>
    </w:tcPr>
  </w:style>
  <w:style w:type="paragraph" w:styleId="2">
    <w:name w:val="footer"/>
    <w:basedOn w:val="1"/>
    <w:link w:val="8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6">
    <w:name w:val="List Paragraph"/>
    <w:basedOn w:val="1"/>
    <w:qFormat/>
    <w:uiPriority w:val="34"/>
    <w:pPr>
      <w:ind w:firstLine="420" w:firstLineChars="200"/>
    </w:pPr>
  </w:style>
  <w:style w:type="character" w:customStyle="1" w:styleId="7">
    <w:name w:val="页眉 Char"/>
    <w:basedOn w:val="4"/>
    <w:link w:val="3"/>
    <w:uiPriority w:val="99"/>
    <w:rPr>
      <w:sz w:val="18"/>
      <w:szCs w:val="18"/>
    </w:rPr>
  </w:style>
  <w:style w:type="character" w:customStyle="1" w:styleId="8">
    <w:name w:val="页脚 Char"/>
    <w:basedOn w:val="4"/>
    <w:link w:val="2"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250</Words>
  <Characters>1429</Characters>
  <Lines>11</Lines>
  <Paragraphs>3</Paragraphs>
  <ScaleCrop>false</ScaleCrop>
  <LinksUpToDate>false</LinksUpToDate>
  <CharactersWithSpaces>0</CharactersWithSpaces>
  <Application>WPS Office 专业版_9.1.0.4940_F1E327BC-269C-435d-A152-05C5408002CA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2019-12-30T03:15:00Z</dcterms:created>
  <dc:creator>123</dc:creator>
  <cp:lastModifiedBy>jsaj309</cp:lastModifiedBy>
  <dcterms:modified xsi:type="dcterms:W3CDTF">2019-12-30T08:10:42Z</dcterms:modified>
  <dc:title>危险化学品重点县化工专家管理办法</dc:title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2052-9.1.0.4940</vt:lpwstr>
  </property>
</Properties>
</file>